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EECDF" w14:textId="3CAB089D" w:rsidR="00A277BA" w:rsidRPr="00A277BA" w:rsidRDefault="00A277BA" w:rsidP="00A277BA">
      <w:pPr>
        <w:tabs>
          <w:tab w:val="right" w:pos="9639"/>
        </w:tabs>
        <w:snapToGrid w:val="0"/>
        <w:spacing w:after="0" w:line="240" w:lineRule="auto"/>
        <w:rPr>
          <w:rFonts w:ascii="Arial" w:eastAsia="宋体" w:hAnsi="Arial" w:cs="Times New Roman"/>
          <w:b/>
          <w:bCs/>
          <w:i/>
          <w:iCs/>
          <w:sz w:val="20"/>
          <w:szCs w:val="20"/>
          <w:lang w:eastAsia="en-US"/>
        </w:rPr>
      </w:pPr>
      <w:r w:rsidRPr="00A277BA">
        <w:rPr>
          <w:rFonts w:ascii="Arial" w:eastAsia="宋体" w:hAnsi="Arial" w:cs="Arial"/>
          <w:b/>
          <w:bCs/>
          <w:sz w:val="20"/>
          <w:szCs w:val="20"/>
          <w:lang w:eastAsia="en-US"/>
        </w:rPr>
        <w:t>3GPP TSG RAN WG1 #1</w:t>
      </w:r>
      <w:r w:rsidR="00EA1042">
        <w:rPr>
          <w:rFonts w:ascii="Arial" w:eastAsia="宋体" w:hAnsi="Arial" w:cs="Arial"/>
          <w:b/>
          <w:bCs/>
          <w:sz w:val="20"/>
          <w:szCs w:val="20"/>
          <w:lang w:eastAsia="en-US"/>
        </w:rPr>
        <w:t>1</w:t>
      </w:r>
      <w:r w:rsidR="00C65219">
        <w:rPr>
          <w:rFonts w:ascii="Arial" w:eastAsia="宋体" w:hAnsi="Arial" w:cs="Arial"/>
          <w:b/>
          <w:bCs/>
          <w:sz w:val="20"/>
          <w:szCs w:val="20"/>
          <w:lang w:eastAsia="en-US"/>
        </w:rPr>
        <w:t>4</w:t>
      </w:r>
      <w:r w:rsidR="008716E2">
        <w:rPr>
          <w:rFonts w:ascii="Arial" w:eastAsia="宋体" w:hAnsi="Arial" w:cs="Arial"/>
          <w:b/>
          <w:bCs/>
          <w:sz w:val="20"/>
          <w:szCs w:val="20"/>
          <w:lang w:eastAsia="en-US"/>
        </w:rPr>
        <w:t>bis</w:t>
      </w:r>
      <w:r w:rsidRPr="00A277BA">
        <w:rPr>
          <w:rFonts w:ascii="Arial" w:eastAsia="宋体" w:hAnsi="Arial" w:cs="Times New Roman"/>
          <w:sz w:val="20"/>
          <w:szCs w:val="20"/>
          <w:lang w:eastAsia="en-US"/>
        </w:rPr>
        <w:tab/>
      </w:r>
      <w:r w:rsidR="009150EB" w:rsidRPr="00936E98">
        <w:rPr>
          <w:rFonts w:ascii="Arial" w:eastAsia="宋体" w:hAnsi="Arial" w:cs="Times New Roman"/>
          <w:b/>
          <w:bCs/>
          <w:iCs/>
          <w:sz w:val="20"/>
          <w:szCs w:val="20"/>
          <w:lang w:eastAsia="en-US"/>
        </w:rPr>
        <w:t>R1-2</w:t>
      </w:r>
      <w:r w:rsidR="00F01EDD">
        <w:rPr>
          <w:rFonts w:ascii="Arial" w:eastAsia="宋体" w:hAnsi="Arial" w:cs="Times New Roman"/>
          <w:b/>
          <w:bCs/>
          <w:iCs/>
          <w:sz w:val="20"/>
          <w:szCs w:val="20"/>
          <w:lang w:eastAsia="en-US"/>
        </w:rPr>
        <w:t>3</w:t>
      </w:r>
      <w:r w:rsidR="00D70E07">
        <w:rPr>
          <w:rFonts w:ascii="Arial" w:eastAsia="宋体" w:hAnsi="Arial" w:cs="Times New Roman"/>
          <w:b/>
          <w:bCs/>
          <w:iCs/>
          <w:sz w:val="20"/>
          <w:szCs w:val="20"/>
          <w:lang w:eastAsia="en-US"/>
        </w:rPr>
        <w:t>0</w:t>
      </w:r>
      <w:r w:rsidR="00B4232A">
        <w:rPr>
          <w:rFonts w:ascii="Arial" w:eastAsia="宋体" w:hAnsi="Arial" w:cs="Times New Roman"/>
          <w:b/>
          <w:bCs/>
          <w:iCs/>
          <w:sz w:val="20"/>
          <w:szCs w:val="20"/>
          <w:lang w:eastAsia="en-US"/>
        </w:rPr>
        <w:t>9280</w:t>
      </w:r>
    </w:p>
    <w:p w14:paraId="31BBA6A6" w14:textId="6E04FCDF" w:rsidR="00464D98" w:rsidRDefault="008716E2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bCs/>
          <w:sz w:val="20"/>
          <w:szCs w:val="24"/>
          <w:lang w:eastAsia="en-US"/>
        </w:rPr>
      </w:pPr>
      <w:r w:rsidRPr="008716E2">
        <w:rPr>
          <w:rFonts w:ascii="Arial" w:eastAsia="宋体" w:hAnsi="Arial" w:cs="Arial"/>
          <w:b/>
          <w:bCs/>
          <w:sz w:val="20"/>
          <w:szCs w:val="20"/>
          <w:lang w:eastAsia="en-US"/>
        </w:rPr>
        <w:t>Xiamen, China, October 9</w:t>
      </w:r>
      <w:r w:rsidRPr="008716E2">
        <w:rPr>
          <w:rFonts w:ascii="Arial" w:eastAsia="宋体" w:hAnsi="Arial" w:cs="Arial"/>
          <w:b/>
          <w:bCs/>
          <w:sz w:val="20"/>
          <w:szCs w:val="20"/>
          <w:vertAlign w:val="superscript"/>
          <w:lang w:eastAsia="en-US"/>
        </w:rPr>
        <w:t>th</w:t>
      </w:r>
      <w:r w:rsidRPr="008716E2">
        <w:rPr>
          <w:rFonts w:ascii="Arial" w:eastAsia="宋体" w:hAnsi="Arial" w:cs="Arial"/>
          <w:b/>
          <w:bCs/>
          <w:sz w:val="20"/>
          <w:szCs w:val="20"/>
          <w:lang w:eastAsia="en-US"/>
        </w:rPr>
        <w:t xml:space="preserve"> – October 13</w:t>
      </w:r>
      <w:r w:rsidRPr="008716E2">
        <w:rPr>
          <w:rFonts w:ascii="Arial" w:eastAsia="宋体" w:hAnsi="Arial" w:cs="Arial"/>
          <w:b/>
          <w:bCs/>
          <w:sz w:val="20"/>
          <w:szCs w:val="20"/>
          <w:vertAlign w:val="superscript"/>
          <w:lang w:eastAsia="en-US"/>
        </w:rPr>
        <w:t>th</w:t>
      </w:r>
      <w:r w:rsidRPr="008716E2">
        <w:rPr>
          <w:rFonts w:ascii="Arial" w:eastAsia="宋体" w:hAnsi="Arial" w:cs="Arial"/>
          <w:b/>
          <w:bCs/>
          <w:sz w:val="20"/>
          <w:szCs w:val="20"/>
          <w:lang w:eastAsia="en-US"/>
        </w:rPr>
        <w:t>, 2023</w:t>
      </w:r>
    </w:p>
    <w:p w14:paraId="0F577FE8" w14:textId="47DE9060" w:rsidR="00A277BA" w:rsidRPr="00A277BA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bCs/>
          <w:sz w:val="20"/>
          <w:szCs w:val="24"/>
          <w:lang w:eastAsia="en-US"/>
        </w:rPr>
      </w:pPr>
      <w:r w:rsidRPr="00A277BA">
        <w:rPr>
          <w:rFonts w:ascii="Arial" w:eastAsia="MS Mincho" w:hAnsi="Arial" w:cs="Times New Roman"/>
          <w:b/>
          <w:bCs/>
          <w:sz w:val="20"/>
          <w:szCs w:val="24"/>
          <w:lang w:eastAsia="en-US"/>
        </w:rPr>
        <w:t>Agenda item:</w:t>
      </w: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ab/>
      </w:r>
      <w:r w:rsidR="008716E2">
        <w:rPr>
          <w:rFonts w:ascii="Arial" w:eastAsia="MS Mincho" w:hAnsi="Arial" w:cs="Times New Roman"/>
          <w:b/>
          <w:sz w:val="20"/>
          <w:szCs w:val="20"/>
          <w:lang w:eastAsia="en-US"/>
        </w:rPr>
        <w:t>8</w:t>
      </w:r>
      <w:r w:rsidR="00B42F64" w:rsidRPr="00B42F64">
        <w:rPr>
          <w:rFonts w:ascii="Arial" w:eastAsia="MS Mincho" w:hAnsi="Arial" w:cs="Times New Roman"/>
          <w:b/>
          <w:sz w:val="20"/>
          <w:szCs w:val="20"/>
          <w:lang w:eastAsia="en-US"/>
        </w:rPr>
        <w:t>.</w:t>
      </w:r>
      <w:r w:rsidR="008716E2">
        <w:rPr>
          <w:rFonts w:ascii="Arial" w:eastAsia="MS Mincho" w:hAnsi="Arial" w:cs="Times New Roman"/>
          <w:b/>
          <w:sz w:val="20"/>
          <w:szCs w:val="20"/>
          <w:lang w:eastAsia="en-US"/>
        </w:rPr>
        <w:t>13</w:t>
      </w:r>
      <w:r w:rsidR="00B42F64" w:rsidRPr="00B42F64">
        <w:rPr>
          <w:rFonts w:ascii="Arial" w:eastAsia="MS Mincho" w:hAnsi="Arial" w:cs="Times New Roman"/>
          <w:b/>
          <w:sz w:val="20"/>
          <w:szCs w:val="20"/>
          <w:lang w:eastAsia="en-US"/>
        </w:rPr>
        <w:t>.</w:t>
      </w:r>
      <w:r w:rsidR="00E138E3">
        <w:rPr>
          <w:rFonts w:ascii="Arial" w:eastAsia="MS Mincho" w:hAnsi="Arial" w:cs="Times New Roman"/>
          <w:b/>
          <w:sz w:val="20"/>
          <w:szCs w:val="20"/>
          <w:lang w:eastAsia="en-US"/>
        </w:rPr>
        <w:t>3</w:t>
      </w:r>
    </w:p>
    <w:p w14:paraId="2AD293CA" w14:textId="77777777" w:rsidR="00A277BA" w:rsidRPr="00A277BA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sz w:val="20"/>
          <w:szCs w:val="20"/>
          <w:lang w:eastAsia="en-US"/>
        </w:rPr>
      </w:pP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>Source:</w:t>
      </w:r>
      <w:r w:rsidRPr="00A277BA">
        <w:rPr>
          <w:rFonts w:ascii="Arial" w:eastAsia="MS Mincho" w:hAnsi="Arial" w:cs="Times New Roman"/>
          <w:b/>
          <w:sz w:val="20"/>
          <w:szCs w:val="20"/>
          <w:lang w:eastAsia="ja-JP"/>
        </w:rPr>
        <w:tab/>
      </w: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>NEC</w:t>
      </w:r>
    </w:p>
    <w:p w14:paraId="50F0CDC8" w14:textId="77777777" w:rsidR="00B42F64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sz w:val="20"/>
          <w:szCs w:val="20"/>
          <w:lang w:eastAsia="en-US"/>
        </w:rPr>
      </w:pPr>
      <w:r w:rsidRPr="00A277BA">
        <w:rPr>
          <w:rFonts w:ascii="Arial" w:eastAsia="MS Mincho" w:hAnsi="Arial" w:cs="Times New Roman"/>
          <w:b/>
          <w:bCs/>
          <w:sz w:val="20"/>
          <w:szCs w:val="24"/>
          <w:lang w:eastAsia="en-US"/>
        </w:rPr>
        <w:t xml:space="preserve">Title: </w:t>
      </w: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ab/>
      </w:r>
      <w:r w:rsidR="00B42F64" w:rsidRPr="00B42F64">
        <w:rPr>
          <w:rFonts w:ascii="Arial" w:eastAsia="MS Mincho" w:hAnsi="Arial" w:cs="Times New Roman"/>
          <w:b/>
          <w:sz w:val="20"/>
          <w:szCs w:val="20"/>
          <w:lang w:eastAsia="en-US"/>
        </w:rPr>
        <w:t xml:space="preserve">Disabling of HARQ feedback for IoT NTN </w:t>
      </w:r>
    </w:p>
    <w:p w14:paraId="229AD15D" w14:textId="77777777" w:rsidR="00A277BA" w:rsidRPr="00A277BA" w:rsidRDefault="00A277BA" w:rsidP="00A277BA">
      <w:pPr>
        <w:tabs>
          <w:tab w:val="left" w:pos="1985"/>
        </w:tabs>
        <w:adjustRightInd w:val="0"/>
        <w:spacing w:line="264" w:lineRule="auto"/>
        <w:rPr>
          <w:rFonts w:eastAsia="MS Mincho" w:cs="Times New Roman"/>
          <w:kern w:val="2"/>
          <w:sz w:val="20"/>
          <w:szCs w:val="20"/>
          <w:lang w:eastAsia="ja-JP"/>
        </w:rPr>
      </w:pP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>Document for:</w:t>
      </w: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ab/>
        <w:t>Discussion and Decision</w:t>
      </w:r>
    </w:p>
    <w:p w14:paraId="4061F6D4" w14:textId="77777777" w:rsidR="00A277BA" w:rsidRPr="00B328F2" w:rsidRDefault="00A277BA" w:rsidP="00690981">
      <w:pPr>
        <w:pStyle w:val="1"/>
        <w:rPr>
          <w:lang w:eastAsia="en-US"/>
        </w:rPr>
      </w:pPr>
      <w:r w:rsidRPr="00B328F2">
        <w:rPr>
          <w:lang w:eastAsia="en-US"/>
        </w:rPr>
        <w:t>Introduction</w:t>
      </w:r>
    </w:p>
    <w:p w14:paraId="38C85E3F" w14:textId="4E5F7785" w:rsidR="00D2679A" w:rsidRDefault="004549AB" w:rsidP="00D179A2">
      <w:r>
        <w:t xml:space="preserve">The WID for </w:t>
      </w:r>
      <w:r w:rsidR="003C6D07" w:rsidRPr="003C6D07">
        <w:t xml:space="preserve">IoT NTN enhancements </w:t>
      </w:r>
      <w:r>
        <w:t>w</w:t>
      </w:r>
      <w:r w:rsidR="003C6D07">
        <w:t>as</w:t>
      </w:r>
      <w:r>
        <w:t xml:space="preserve"> approved by</w:t>
      </w:r>
      <w:r w:rsidR="00475E76">
        <w:t xml:space="preserve"> </w:t>
      </w:r>
      <w:r>
        <w:t xml:space="preserve">RAN plenary </w:t>
      </w:r>
      <w:r w:rsidR="00EA1042">
        <w:t>#</w:t>
      </w:r>
      <w:r w:rsidR="00475E76">
        <w:t>95e meeting in</w:t>
      </w:r>
      <w:r w:rsidR="003C6D07">
        <w:t xml:space="preserve"> </w:t>
      </w:r>
      <w:hyperlink r:id="rId8" w:history="1">
        <w:r w:rsidR="003C6D07" w:rsidRPr="00863E37">
          <w:rPr>
            <w:rStyle w:val="a6"/>
            <w:iCs/>
            <w:color w:val="auto"/>
            <w:u w:val="none"/>
          </w:rPr>
          <w:t>RP-220979</w:t>
        </w:r>
      </w:hyperlink>
      <w:r w:rsidR="003C6D07" w:rsidRPr="00863E37">
        <w:t xml:space="preserve"> </w:t>
      </w:r>
      <w:r>
        <w:t>[1]</w:t>
      </w:r>
      <w:r w:rsidR="003C6D07">
        <w:t>.</w:t>
      </w:r>
      <w:r w:rsidR="00475E76">
        <w:t xml:space="preserve"> </w:t>
      </w:r>
      <w:r w:rsidR="00E2469D">
        <w:t xml:space="preserve">The </w:t>
      </w:r>
      <w:r w:rsidR="004A2C8A">
        <w:t>objective</w:t>
      </w:r>
      <w:r w:rsidR="00E2469D">
        <w:t xml:space="preserve">s include </w:t>
      </w:r>
      <w:r w:rsidR="004A2C8A">
        <w:t>‘</w:t>
      </w:r>
      <w:r w:rsidR="004A2C8A" w:rsidRPr="004A2C8A">
        <w:rPr>
          <w:i/>
          <w:iCs/>
        </w:rPr>
        <w:t xml:space="preserve">Disabling of HARQ feedback to mitigate </w:t>
      </w:r>
      <w:r w:rsidR="0017484E" w:rsidRPr="0017484E">
        <w:rPr>
          <w:i/>
          <w:iCs/>
        </w:rPr>
        <w:t xml:space="preserve">the impact of HARQ stalling on UE data rates [RAN1, RAN2]’ </w:t>
      </w:r>
      <w:r w:rsidR="00D2679A">
        <w:t xml:space="preserve">considering the </w:t>
      </w:r>
      <w:r w:rsidR="00E2469D" w:rsidRPr="00E2469D">
        <w:t xml:space="preserve">Rel-17 IoT-NTN </w:t>
      </w:r>
      <w:r w:rsidR="00D179A2">
        <w:t xml:space="preserve">and </w:t>
      </w:r>
      <w:r w:rsidR="00D179A2" w:rsidRPr="00E2469D">
        <w:t xml:space="preserve">Rel-17 NR-NTN outcome </w:t>
      </w:r>
      <w:r w:rsidR="00E2469D" w:rsidRPr="00E2469D">
        <w:t xml:space="preserve">as </w:t>
      </w:r>
      <w:r w:rsidR="00D179A2">
        <w:t xml:space="preserve">a </w:t>
      </w:r>
      <w:r w:rsidR="00E2469D" w:rsidRPr="00E2469D">
        <w:t>baseline</w:t>
      </w:r>
      <w:r w:rsidR="00E2469D">
        <w:t xml:space="preserve">. </w:t>
      </w:r>
      <w:r w:rsidR="002006DC">
        <w:t xml:space="preserve">And below agreements were reached in the RAN1 </w:t>
      </w:r>
      <w:r w:rsidR="009A191A">
        <w:t>#11</w:t>
      </w:r>
      <w:r w:rsidR="00431C36">
        <w:t>4</w:t>
      </w:r>
      <w:r w:rsidR="009A191A">
        <w:t xml:space="preserve"> </w:t>
      </w:r>
      <w:r w:rsidR="004673FD">
        <w:t>meeting</w:t>
      </w:r>
      <w:r w:rsidR="002006DC">
        <w:t>.</w:t>
      </w:r>
      <w:bookmarkStart w:id="0" w:name="_GoBack"/>
      <w:bookmarkEnd w:id="0"/>
    </w:p>
    <w:p w14:paraId="65FBE4F7" w14:textId="77777777" w:rsidR="00431C36" w:rsidRPr="00AF432C" w:rsidRDefault="00431C36" w:rsidP="00431C36">
      <w:pPr>
        <w:rPr>
          <w:b/>
          <w:bCs/>
          <w:i/>
          <w:iCs/>
          <w:szCs w:val="20"/>
          <w:highlight w:val="green"/>
        </w:rPr>
      </w:pPr>
      <w:r w:rsidRPr="00AF432C">
        <w:rPr>
          <w:b/>
          <w:bCs/>
          <w:i/>
          <w:iCs/>
          <w:szCs w:val="20"/>
          <w:highlight w:val="green"/>
        </w:rPr>
        <w:t>Agreement</w:t>
      </w:r>
    </w:p>
    <w:p w14:paraId="0B8BD803" w14:textId="77777777" w:rsidR="00431C36" w:rsidRPr="00AF432C" w:rsidRDefault="00431C36" w:rsidP="00431C36">
      <w:pPr>
        <w:rPr>
          <w:i/>
          <w:szCs w:val="20"/>
        </w:rPr>
      </w:pPr>
      <w:r w:rsidRPr="00AF432C">
        <w:rPr>
          <w:i/>
          <w:szCs w:val="16"/>
        </w:rPr>
        <w:t xml:space="preserve">For DCI-based direct indication in multiple TBs scheduled by single DCI, </w:t>
      </w:r>
      <w:r w:rsidRPr="00AF432C">
        <w:rPr>
          <w:rFonts w:eastAsia="等线"/>
          <w:i/>
          <w:szCs w:val="16"/>
        </w:rPr>
        <w:t>reuse/reinterpret the HARQ-ACK related field in corresponding DCI for indication of HARQ feedback enabled/disabled.</w:t>
      </w:r>
    </w:p>
    <w:p w14:paraId="0EEA9D5F" w14:textId="77777777" w:rsidR="00431C36" w:rsidRPr="00AF432C" w:rsidRDefault="00431C36" w:rsidP="00431C36">
      <w:pPr>
        <w:pStyle w:val="a4"/>
        <w:numPr>
          <w:ilvl w:val="0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szCs w:val="16"/>
        </w:rPr>
      </w:pPr>
      <w:r w:rsidRPr="00AF432C">
        <w:rPr>
          <w:i/>
          <w:szCs w:val="16"/>
        </w:rPr>
        <w:t>The same DCI direct indication functionality as single TB scheduled by DCI scenarios. (</w:t>
      </w:r>
      <w:r w:rsidRPr="00AF432C">
        <w:rPr>
          <w:rFonts w:hint="eastAsia"/>
          <w:i/>
          <w:szCs w:val="16"/>
        </w:rPr>
        <w:t>i</w:t>
      </w:r>
      <w:r w:rsidRPr="00AF432C">
        <w:rPr>
          <w:i/>
          <w:szCs w:val="16"/>
        </w:rPr>
        <w:t>.e., same state of HARQ related field is used)</w:t>
      </w:r>
    </w:p>
    <w:p w14:paraId="01E47B7A" w14:textId="77777777" w:rsidR="00431C36" w:rsidRPr="00AF432C" w:rsidRDefault="00431C36" w:rsidP="00431C36">
      <w:pPr>
        <w:rPr>
          <w:b/>
          <w:bCs/>
          <w:i/>
          <w:iCs/>
          <w:szCs w:val="20"/>
          <w:highlight w:val="green"/>
        </w:rPr>
      </w:pPr>
      <w:r w:rsidRPr="00AF432C">
        <w:rPr>
          <w:b/>
          <w:bCs/>
          <w:i/>
          <w:iCs/>
          <w:szCs w:val="20"/>
          <w:highlight w:val="green"/>
        </w:rPr>
        <w:t>Agreement</w:t>
      </w:r>
    </w:p>
    <w:p w14:paraId="35619930" w14:textId="77777777" w:rsidR="00431C36" w:rsidRPr="00AF432C" w:rsidRDefault="00431C36" w:rsidP="00431C36">
      <w:pPr>
        <w:rPr>
          <w:i/>
          <w:strike/>
          <w:szCs w:val="20"/>
        </w:rPr>
      </w:pPr>
      <w:r w:rsidRPr="00AF432C">
        <w:rPr>
          <w:rFonts w:eastAsia="等线"/>
          <w:i/>
          <w:szCs w:val="20"/>
        </w:rPr>
        <w:t xml:space="preserve">For the DCI based overridden indication for </w:t>
      </w:r>
      <w:r w:rsidRPr="00AF432C">
        <w:rPr>
          <w:i/>
          <w:szCs w:val="20"/>
        </w:rPr>
        <w:t>multiple TBs scheduled by single DCI,</w:t>
      </w:r>
    </w:p>
    <w:p w14:paraId="7C3EA42C" w14:textId="3C068EEE" w:rsidR="00431C36" w:rsidRPr="00AF432C" w:rsidRDefault="00421604" w:rsidP="00431C36">
      <w:pPr>
        <w:pStyle w:val="a4"/>
        <w:numPr>
          <w:ilvl w:val="0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eastAsia="等线"/>
          <w:i/>
          <w:szCs w:val="16"/>
        </w:rPr>
      </w:pPr>
      <w:r w:rsidRPr="00AF432C">
        <w:rPr>
          <w:rFonts w:eastAsia="等线"/>
          <w:i/>
          <w:szCs w:val="16"/>
        </w:rPr>
        <w:t>Reuse/reinterpret</w:t>
      </w:r>
      <w:r w:rsidR="00431C36" w:rsidRPr="00AF432C">
        <w:rPr>
          <w:rFonts w:eastAsia="等线"/>
          <w:i/>
          <w:szCs w:val="16"/>
        </w:rPr>
        <w:t xml:space="preserve"> the HARQ-ACK related field in corresponding DCI for overridden indication of HARQ feedback enabled/disabled.</w:t>
      </w:r>
    </w:p>
    <w:p w14:paraId="0A2D25BF" w14:textId="77777777" w:rsidR="00431C36" w:rsidRPr="00AF432C" w:rsidRDefault="00431C36" w:rsidP="00431C36">
      <w:pPr>
        <w:pStyle w:val="a4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szCs w:val="20"/>
        </w:rPr>
      </w:pPr>
      <w:r w:rsidRPr="00AF432C">
        <w:rPr>
          <w:i/>
          <w:szCs w:val="16"/>
        </w:rPr>
        <w:t>The same DCI overridden indication functionality as single TB scheduled by DCI scenarios.</w:t>
      </w:r>
    </w:p>
    <w:p w14:paraId="010DCA4F" w14:textId="77777777" w:rsidR="00431C36" w:rsidRPr="00AF432C" w:rsidRDefault="00431C36" w:rsidP="00431C36">
      <w:pPr>
        <w:pStyle w:val="a4"/>
        <w:numPr>
          <w:ilvl w:val="2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szCs w:val="16"/>
        </w:rPr>
      </w:pPr>
      <w:r w:rsidRPr="00AF432C">
        <w:rPr>
          <w:i/>
          <w:szCs w:val="16"/>
        </w:rPr>
        <w:t>T</w:t>
      </w:r>
      <w:r w:rsidRPr="00AF432C">
        <w:rPr>
          <w:rFonts w:hint="eastAsia"/>
          <w:i/>
          <w:szCs w:val="16"/>
        </w:rPr>
        <w:t>his</w:t>
      </w:r>
      <w:r w:rsidRPr="00AF432C">
        <w:rPr>
          <w:i/>
          <w:szCs w:val="16"/>
        </w:rPr>
        <w:t xml:space="preserve"> implies that all scheduled TBs by single DCI are HARQ feedback enabled or HARQ feedback disabled by the DCI overridden indication.</w:t>
      </w:r>
    </w:p>
    <w:p w14:paraId="51C810FE" w14:textId="77777777" w:rsidR="00431C36" w:rsidRPr="00AF432C" w:rsidRDefault="00431C36" w:rsidP="00431C36">
      <w:pPr>
        <w:rPr>
          <w:b/>
          <w:bCs/>
          <w:i/>
          <w:iCs/>
          <w:szCs w:val="20"/>
          <w:highlight w:val="green"/>
        </w:rPr>
      </w:pPr>
      <w:r w:rsidRPr="00AF432C">
        <w:rPr>
          <w:b/>
          <w:bCs/>
          <w:i/>
          <w:iCs/>
          <w:szCs w:val="20"/>
          <w:highlight w:val="green"/>
        </w:rPr>
        <w:t>Agreement</w:t>
      </w:r>
    </w:p>
    <w:p w14:paraId="0340B3DC" w14:textId="77777777" w:rsidR="00431C36" w:rsidRPr="00AF432C" w:rsidRDefault="00431C36" w:rsidP="00431C36">
      <w:pPr>
        <w:rPr>
          <w:i/>
          <w:szCs w:val="20"/>
        </w:rPr>
      </w:pPr>
      <w:r w:rsidRPr="00AF432C">
        <w:rPr>
          <w:i/>
          <w:szCs w:val="20"/>
        </w:rPr>
        <w:t xml:space="preserve">For both RRC bitmap-based solution and DCI-based solutions (i.e., DCI-based direct indication and DCI-based </w:t>
      </w:r>
      <w:r w:rsidRPr="00AF432C">
        <w:rPr>
          <w:rFonts w:eastAsia="等线"/>
          <w:i/>
          <w:szCs w:val="20"/>
        </w:rPr>
        <w:t xml:space="preserve">overridden </w:t>
      </w:r>
      <w:r w:rsidRPr="00AF432C">
        <w:rPr>
          <w:i/>
          <w:szCs w:val="20"/>
        </w:rPr>
        <w:t>indication)</w:t>
      </w:r>
      <w:r w:rsidRPr="00AF432C">
        <w:rPr>
          <w:rFonts w:hint="eastAsia"/>
          <w:i/>
          <w:szCs w:val="20"/>
        </w:rPr>
        <w:t>,</w:t>
      </w:r>
    </w:p>
    <w:p w14:paraId="6440B6F7" w14:textId="77777777" w:rsidR="00431C36" w:rsidRPr="00AF432C" w:rsidRDefault="00431C36" w:rsidP="00431C36">
      <w:pPr>
        <w:pStyle w:val="a4"/>
        <w:numPr>
          <w:ilvl w:val="0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szCs w:val="20"/>
        </w:rPr>
      </w:pPr>
      <w:r w:rsidRPr="00AF432C">
        <w:rPr>
          <w:i/>
          <w:szCs w:val="20"/>
        </w:rPr>
        <w:t>For LTE-MTC/NB-IoT multiple TBs scheduled by single DCI without HARQ-</w:t>
      </w:r>
      <w:r w:rsidRPr="00AF432C">
        <w:rPr>
          <w:rFonts w:hint="eastAsia"/>
          <w:i/>
          <w:szCs w:val="20"/>
        </w:rPr>
        <w:t>ACK</w:t>
      </w:r>
      <w:r w:rsidRPr="00AF432C">
        <w:rPr>
          <w:i/>
          <w:szCs w:val="20"/>
        </w:rPr>
        <w:t xml:space="preserve"> bundling, </w:t>
      </w:r>
    </w:p>
    <w:p w14:paraId="21B81CD8" w14:textId="77777777" w:rsidR="00431C36" w:rsidRPr="00AF432C" w:rsidRDefault="00431C36" w:rsidP="00431C36">
      <w:pPr>
        <w:pStyle w:val="a4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szCs w:val="20"/>
        </w:rPr>
      </w:pPr>
      <w:r w:rsidRPr="00AF432C">
        <w:rPr>
          <w:i/>
          <w:szCs w:val="20"/>
        </w:rPr>
        <w:t>HARQ feedback is reported for each TB at least in case that all TBs scheduled by single DCI are configured/indicated as HARQ feedback enabled.</w:t>
      </w:r>
    </w:p>
    <w:p w14:paraId="2F373F4B" w14:textId="77777777" w:rsidR="00431C36" w:rsidRPr="00AF432C" w:rsidRDefault="00431C36" w:rsidP="00431C36">
      <w:pPr>
        <w:pStyle w:val="a4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szCs w:val="20"/>
        </w:rPr>
      </w:pPr>
      <w:r w:rsidRPr="00AF432C">
        <w:rPr>
          <w:i/>
          <w:szCs w:val="20"/>
        </w:rPr>
        <w:t>HARQ feedback is not reported at least in case all TBs scheduled by single DCI are configured/indicated as HARQ feedback disabled.</w:t>
      </w:r>
    </w:p>
    <w:p w14:paraId="7583FC41" w14:textId="77777777" w:rsidR="00431C36" w:rsidRPr="00AF432C" w:rsidRDefault="00431C36" w:rsidP="00431C36">
      <w:pPr>
        <w:pStyle w:val="a4"/>
        <w:numPr>
          <w:ilvl w:val="0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szCs w:val="20"/>
        </w:rPr>
      </w:pPr>
      <w:r w:rsidRPr="00AF432C">
        <w:rPr>
          <w:i/>
          <w:szCs w:val="20"/>
        </w:rPr>
        <w:t>For LTE-MTC/NB-IoT multiple TBs scheduled by single DCI with HARQ-</w:t>
      </w:r>
      <w:r w:rsidRPr="00AF432C">
        <w:rPr>
          <w:rFonts w:hint="eastAsia"/>
          <w:i/>
          <w:szCs w:val="20"/>
        </w:rPr>
        <w:t>ACK</w:t>
      </w:r>
      <w:r w:rsidRPr="00AF432C">
        <w:rPr>
          <w:i/>
          <w:szCs w:val="20"/>
        </w:rPr>
        <w:t xml:space="preserve"> bundling, </w:t>
      </w:r>
    </w:p>
    <w:p w14:paraId="63714BE9" w14:textId="177462DB" w:rsidR="00431C36" w:rsidRPr="00AF432C" w:rsidRDefault="00421604" w:rsidP="00431C36">
      <w:pPr>
        <w:pStyle w:val="a4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szCs w:val="20"/>
        </w:rPr>
      </w:pPr>
      <w:r w:rsidRPr="00AF432C">
        <w:rPr>
          <w:i/>
          <w:szCs w:val="20"/>
        </w:rPr>
        <w:t>Bundled</w:t>
      </w:r>
      <w:r w:rsidR="00431C36" w:rsidRPr="00AF432C">
        <w:rPr>
          <w:i/>
          <w:szCs w:val="20"/>
        </w:rPr>
        <w:t xml:space="preserve"> HARQ feedback is reported at least in case that all TBs scheduled by single DCI are configured/indicated as HARQ feedback enabled. </w:t>
      </w:r>
    </w:p>
    <w:p w14:paraId="0C7A250E" w14:textId="77777777" w:rsidR="00431C36" w:rsidRPr="00AF432C" w:rsidRDefault="00431C36" w:rsidP="00431C36">
      <w:pPr>
        <w:pStyle w:val="a4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szCs w:val="20"/>
        </w:rPr>
      </w:pPr>
      <w:r w:rsidRPr="00AF432C">
        <w:rPr>
          <w:i/>
          <w:szCs w:val="20"/>
        </w:rPr>
        <w:t>HARQ feedback is not reported at least in case all TBs scheduled by single DCI are configured/indicated as HARQ feedback disabled.</w:t>
      </w:r>
    </w:p>
    <w:p w14:paraId="070D8205" w14:textId="0180E083" w:rsidR="00014901" w:rsidRPr="00AF432C" w:rsidRDefault="00014901" w:rsidP="00D179A2">
      <w:pPr>
        <w:rPr>
          <w:i/>
        </w:rPr>
      </w:pPr>
    </w:p>
    <w:p w14:paraId="33641CB9" w14:textId="77777777" w:rsidR="00431C36" w:rsidRPr="00AF432C" w:rsidRDefault="00431C36" w:rsidP="00431C36">
      <w:pPr>
        <w:rPr>
          <w:b/>
          <w:bCs/>
          <w:i/>
          <w:iCs/>
          <w:szCs w:val="20"/>
          <w:highlight w:val="green"/>
        </w:rPr>
      </w:pPr>
      <w:r w:rsidRPr="00AF432C">
        <w:rPr>
          <w:b/>
          <w:bCs/>
          <w:i/>
          <w:iCs/>
          <w:szCs w:val="20"/>
          <w:highlight w:val="green"/>
        </w:rPr>
        <w:t>Agreement</w:t>
      </w:r>
    </w:p>
    <w:p w14:paraId="22AEC2F2" w14:textId="77777777" w:rsidR="00431C36" w:rsidRPr="00AF432C" w:rsidRDefault="00431C36" w:rsidP="00431C36">
      <w:pPr>
        <w:rPr>
          <w:i/>
          <w:lang w:eastAsia="x-none"/>
        </w:rPr>
      </w:pPr>
      <w:r w:rsidRPr="00AF432C">
        <w:rPr>
          <w:rFonts w:eastAsia="等线"/>
          <w:i/>
          <w:szCs w:val="20"/>
        </w:rPr>
        <w:t>For</w:t>
      </w:r>
      <w:r w:rsidRPr="00AF432C">
        <w:rPr>
          <w:i/>
          <w:szCs w:val="20"/>
        </w:rPr>
        <w:t xml:space="preserve"> LTE-MTC/NB-IoT, for the multiple TBs scheduled by single DCI with only RRC bitmap-based solution configuration and with mixed HARQ feedback enabled/disabled scheduling</w:t>
      </w:r>
    </w:p>
    <w:p w14:paraId="25797A4F" w14:textId="77777777" w:rsidR="00431C36" w:rsidRPr="00AF432C" w:rsidRDefault="00431C36" w:rsidP="00431C36">
      <w:pPr>
        <w:pStyle w:val="a4"/>
        <w:numPr>
          <w:ilvl w:val="2"/>
          <w:numId w:val="40"/>
        </w:numPr>
        <w:snapToGrid w:val="0"/>
        <w:spacing w:after="0"/>
        <w:contextualSpacing w:val="0"/>
        <w:jc w:val="left"/>
        <w:rPr>
          <w:i/>
          <w:szCs w:val="20"/>
        </w:rPr>
      </w:pPr>
      <w:r w:rsidRPr="00AF432C">
        <w:rPr>
          <w:i/>
          <w:szCs w:val="20"/>
        </w:rPr>
        <w:t>Without HARQ-ACK bundling</w:t>
      </w:r>
    </w:p>
    <w:p w14:paraId="4055EB9C" w14:textId="77777777" w:rsidR="00431C36" w:rsidRPr="00AF432C" w:rsidRDefault="00431C36" w:rsidP="00431C36">
      <w:pPr>
        <w:pStyle w:val="a4"/>
        <w:numPr>
          <w:ilvl w:val="3"/>
          <w:numId w:val="40"/>
        </w:numPr>
        <w:snapToGrid w:val="0"/>
        <w:spacing w:after="0"/>
        <w:contextualSpacing w:val="0"/>
        <w:jc w:val="left"/>
        <w:rPr>
          <w:i/>
          <w:szCs w:val="20"/>
        </w:rPr>
      </w:pPr>
      <w:r w:rsidRPr="00AF432C">
        <w:rPr>
          <w:rFonts w:eastAsia="等线"/>
          <w:i/>
          <w:szCs w:val="20"/>
        </w:rPr>
        <w:t>HARQ feedback is not reported for TB with HARQ feedback disabled configuration.</w:t>
      </w:r>
    </w:p>
    <w:p w14:paraId="3B3CA161" w14:textId="77777777" w:rsidR="00431C36" w:rsidRPr="00AF432C" w:rsidRDefault="00431C36" w:rsidP="00431C36">
      <w:pPr>
        <w:pStyle w:val="a4"/>
        <w:numPr>
          <w:ilvl w:val="3"/>
          <w:numId w:val="40"/>
        </w:numPr>
        <w:snapToGrid w:val="0"/>
        <w:spacing w:after="0"/>
        <w:contextualSpacing w:val="0"/>
        <w:jc w:val="left"/>
        <w:rPr>
          <w:i/>
          <w:szCs w:val="20"/>
        </w:rPr>
      </w:pPr>
      <w:r w:rsidRPr="00AF432C">
        <w:rPr>
          <w:i/>
          <w:szCs w:val="20"/>
        </w:rPr>
        <w:lastRenderedPageBreak/>
        <w:t>HARQ timing</w:t>
      </w:r>
      <w:r w:rsidRPr="00AF432C">
        <w:rPr>
          <w:i/>
        </w:rPr>
        <w:t xml:space="preserve"> </w:t>
      </w:r>
      <w:r w:rsidRPr="00AF432C">
        <w:rPr>
          <w:i/>
          <w:szCs w:val="20"/>
        </w:rPr>
        <w:t>for TBs with HARQ feedback enabled</w:t>
      </w:r>
      <w:r w:rsidRPr="00AF432C">
        <w:rPr>
          <w:rFonts w:eastAsia="等线"/>
          <w:i/>
          <w:szCs w:val="20"/>
        </w:rPr>
        <w:t xml:space="preserve"> configuration</w:t>
      </w:r>
      <w:r w:rsidRPr="00AF432C">
        <w:rPr>
          <w:i/>
          <w:szCs w:val="20"/>
        </w:rPr>
        <w:t xml:space="preserve"> does not count the legacy HARQ-ACK resource/HARQ timing adopted for TBs with HARQ feedback disabled</w:t>
      </w:r>
      <w:r w:rsidRPr="00AF432C">
        <w:rPr>
          <w:rFonts w:eastAsia="等线"/>
          <w:i/>
          <w:szCs w:val="20"/>
        </w:rPr>
        <w:t xml:space="preserve"> configuration</w:t>
      </w:r>
      <w:r w:rsidRPr="00AF432C">
        <w:rPr>
          <w:i/>
          <w:szCs w:val="20"/>
        </w:rPr>
        <w:t xml:space="preserve">. </w:t>
      </w:r>
    </w:p>
    <w:p w14:paraId="2007DAAF" w14:textId="77777777" w:rsidR="00431C36" w:rsidRPr="00AF432C" w:rsidRDefault="00431C36" w:rsidP="00431C36">
      <w:pPr>
        <w:pStyle w:val="a4"/>
        <w:numPr>
          <w:ilvl w:val="2"/>
          <w:numId w:val="40"/>
        </w:numPr>
        <w:snapToGrid w:val="0"/>
        <w:spacing w:after="0"/>
        <w:contextualSpacing w:val="0"/>
        <w:jc w:val="left"/>
        <w:rPr>
          <w:i/>
          <w:szCs w:val="20"/>
        </w:rPr>
      </w:pPr>
      <w:r w:rsidRPr="00AF432C">
        <w:rPr>
          <w:i/>
          <w:szCs w:val="20"/>
        </w:rPr>
        <w:t>With HARQ-ACK bundling</w:t>
      </w:r>
    </w:p>
    <w:p w14:paraId="685D3A3F" w14:textId="77777777" w:rsidR="00431C36" w:rsidRPr="00AF432C" w:rsidRDefault="00431C36" w:rsidP="00431C36">
      <w:pPr>
        <w:pStyle w:val="a4"/>
        <w:numPr>
          <w:ilvl w:val="3"/>
          <w:numId w:val="40"/>
        </w:numPr>
        <w:snapToGrid w:val="0"/>
        <w:spacing w:after="0"/>
        <w:contextualSpacing w:val="0"/>
        <w:jc w:val="left"/>
        <w:rPr>
          <w:i/>
          <w:lang w:eastAsia="x-none"/>
        </w:rPr>
      </w:pPr>
      <w:r w:rsidRPr="00AF432C">
        <w:rPr>
          <w:rFonts w:eastAsia="等线" w:hint="eastAsia"/>
          <w:i/>
          <w:szCs w:val="20"/>
        </w:rPr>
        <w:t>Option</w:t>
      </w:r>
      <w:r w:rsidRPr="00AF432C">
        <w:rPr>
          <w:rFonts w:eastAsia="等线"/>
          <w:i/>
          <w:szCs w:val="20"/>
        </w:rPr>
        <w:t xml:space="preserve"> 2</w:t>
      </w:r>
      <w:r w:rsidRPr="00AF432C">
        <w:rPr>
          <w:rFonts w:eastAsia="等线" w:hint="eastAsia"/>
          <w:i/>
          <w:szCs w:val="20"/>
        </w:rPr>
        <w:t>f</w:t>
      </w:r>
      <w:r w:rsidRPr="00AF432C">
        <w:rPr>
          <w:rFonts w:eastAsia="等线"/>
          <w:i/>
          <w:szCs w:val="20"/>
        </w:rPr>
        <w:t>-</w:t>
      </w:r>
      <w:r w:rsidRPr="00AF432C">
        <w:rPr>
          <w:rFonts w:eastAsia="等线" w:hint="eastAsia"/>
          <w:i/>
          <w:szCs w:val="20"/>
        </w:rPr>
        <w:t>b</w:t>
      </w:r>
      <w:r w:rsidRPr="00AF432C">
        <w:rPr>
          <w:rFonts w:eastAsia="等线" w:hint="eastAsia"/>
          <w:i/>
          <w:szCs w:val="20"/>
        </w:rPr>
        <w:t>：</w:t>
      </w:r>
      <w:r w:rsidRPr="00AF432C">
        <w:rPr>
          <w:rFonts w:eastAsia="等线"/>
          <w:i/>
          <w:szCs w:val="20"/>
        </w:rPr>
        <w:t xml:space="preserve">ACK is reported for TB with HARQ feedback disabled configuration for HARQ-ACK bundling. No change to HARQ feedback timeline. </w:t>
      </w:r>
    </w:p>
    <w:p w14:paraId="012DB876" w14:textId="77777777" w:rsidR="00431C36" w:rsidRPr="00AF432C" w:rsidRDefault="00431C36" w:rsidP="00431C36">
      <w:pPr>
        <w:rPr>
          <w:b/>
          <w:bCs/>
          <w:i/>
          <w:iCs/>
          <w:szCs w:val="20"/>
          <w:highlight w:val="green"/>
        </w:rPr>
      </w:pPr>
      <w:r w:rsidRPr="00AF432C">
        <w:rPr>
          <w:b/>
          <w:bCs/>
          <w:i/>
          <w:iCs/>
          <w:szCs w:val="20"/>
          <w:highlight w:val="green"/>
        </w:rPr>
        <w:t>Agreement</w:t>
      </w:r>
    </w:p>
    <w:p w14:paraId="520A4641" w14:textId="77777777" w:rsidR="00431C36" w:rsidRPr="00AF432C" w:rsidRDefault="00431C36" w:rsidP="00431C36">
      <w:pPr>
        <w:rPr>
          <w:i/>
          <w:szCs w:val="13"/>
        </w:rPr>
      </w:pPr>
      <w:r w:rsidRPr="00AF432C">
        <w:rPr>
          <w:i/>
          <w:szCs w:val="13"/>
        </w:rPr>
        <w:t xml:space="preserve">For DCI-based direct/overridden indication, for the state of HARQ-related field (i.e., </w:t>
      </w:r>
      <w:r w:rsidRPr="00AF432C">
        <w:rPr>
          <w:i/>
          <w:szCs w:val="16"/>
        </w:rPr>
        <w:t>“HARQ-ACK resource offset” field for eMTC, “HARQ-ACK resource” field for NBIoT</w:t>
      </w:r>
      <w:r w:rsidRPr="00AF432C">
        <w:rPr>
          <w:i/>
          <w:szCs w:val="13"/>
        </w:rPr>
        <w:t xml:space="preserve">) in DCI to indicate </w:t>
      </w:r>
      <w:r w:rsidRPr="00AF432C">
        <w:rPr>
          <w:i/>
          <w:szCs w:val="20"/>
        </w:rPr>
        <w:t xml:space="preserve">the </w:t>
      </w:r>
      <w:r w:rsidRPr="00AF432C">
        <w:rPr>
          <w:i/>
          <w:szCs w:val="16"/>
        </w:rPr>
        <w:t>HARQ feedback enabled/disabled.</w:t>
      </w:r>
    </w:p>
    <w:p w14:paraId="6F361F14" w14:textId="77777777" w:rsidR="00431C36" w:rsidRPr="00AF432C" w:rsidRDefault="00431C36" w:rsidP="00431C36">
      <w:pPr>
        <w:pStyle w:val="a4"/>
        <w:numPr>
          <w:ilvl w:val="0"/>
          <w:numId w:val="41"/>
        </w:numPr>
        <w:snapToGrid w:val="0"/>
        <w:spacing w:after="0"/>
        <w:contextualSpacing w:val="0"/>
        <w:jc w:val="left"/>
        <w:rPr>
          <w:i/>
          <w:szCs w:val="16"/>
        </w:rPr>
      </w:pPr>
      <w:r w:rsidRPr="00AF432C">
        <w:rPr>
          <w:i/>
          <w:szCs w:val="16"/>
        </w:rPr>
        <w:t>Option 1: one common state is used for all UEs</w:t>
      </w:r>
    </w:p>
    <w:p w14:paraId="0A53240D" w14:textId="77777777" w:rsidR="00431C36" w:rsidRPr="00AF432C" w:rsidRDefault="00431C36" w:rsidP="00431C36">
      <w:pPr>
        <w:pStyle w:val="a4"/>
        <w:numPr>
          <w:ilvl w:val="1"/>
          <w:numId w:val="42"/>
        </w:numPr>
        <w:snapToGrid w:val="0"/>
        <w:spacing w:after="0"/>
        <w:contextualSpacing w:val="0"/>
        <w:jc w:val="left"/>
        <w:rPr>
          <w:i/>
          <w:szCs w:val="16"/>
        </w:rPr>
      </w:pPr>
      <w:r w:rsidRPr="00AF432C">
        <w:rPr>
          <w:i/>
          <w:szCs w:val="16"/>
        </w:rPr>
        <w:t>Option 1-1: the state of indication of HARQ feedback disabled and state A are state of “11” for eMTC and state of “1111” for NB-IoT (i.e., for both 3.75kHz and 15kHz subcarrier spacing) respectively.</w:t>
      </w:r>
    </w:p>
    <w:p w14:paraId="4831A3C2" w14:textId="77777777" w:rsidR="00431C36" w:rsidRPr="00431C36" w:rsidRDefault="00431C36" w:rsidP="00D179A2">
      <w:pPr>
        <w:rPr>
          <w:i/>
        </w:rPr>
      </w:pPr>
    </w:p>
    <w:p w14:paraId="2D0B3F1B" w14:textId="2D6A2F31" w:rsidR="00D179A2" w:rsidRPr="004857E1" w:rsidRDefault="00D179A2" w:rsidP="00D179A2">
      <w:r w:rsidRPr="004857E1">
        <w:t xml:space="preserve">In this contribution, we will discuss the </w:t>
      </w:r>
      <w:r w:rsidR="00421604">
        <w:t>remaining</w:t>
      </w:r>
      <w:r w:rsidRPr="004857E1">
        <w:t xml:space="preserve"> approaches to disable the HARQ feedback for IoT NTN. </w:t>
      </w:r>
    </w:p>
    <w:p w14:paraId="0E40E890" w14:textId="7F9179BF" w:rsidR="000562DA" w:rsidRPr="00BD27F6" w:rsidRDefault="0082773D" w:rsidP="00BD27F6">
      <w:pPr>
        <w:pStyle w:val="1"/>
      </w:pPr>
      <w:r w:rsidRPr="00B328F2">
        <w:t xml:space="preserve">Discussion </w:t>
      </w:r>
    </w:p>
    <w:p w14:paraId="06E39BD7" w14:textId="77777777" w:rsidR="00442CEC" w:rsidRDefault="00442CEC" w:rsidP="00BE7099">
      <w:pPr>
        <w:pStyle w:val="2"/>
      </w:pPr>
      <w:r w:rsidRPr="00442CEC">
        <w:t xml:space="preserve">Disabling of HARQ feedback </w:t>
      </w:r>
      <w:r>
        <w:t xml:space="preserve">for IoT NTN </w:t>
      </w:r>
    </w:p>
    <w:p w14:paraId="42D556AE" w14:textId="665D468F" w:rsidR="00A94443" w:rsidRDefault="00DB0E0F" w:rsidP="0008682A">
      <w:r>
        <w:t>Unlike</w:t>
      </w:r>
      <w:r w:rsidR="00CC6F34">
        <w:t xml:space="preserve"> NR UEs, the </w:t>
      </w:r>
      <w:r w:rsidR="00CC6F34" w:rsidRPr="00CC6F34">
        <w:t>main characteristics of an IoT device</w:t>
      </w:r>
      <w:r w:rsidR="00CC6F34">
        <w:t xml:space="preserve"> considered in IoT NTN include</w:t>
      </w:r>
      <w:r w:rsidR="00CC6F34" w:rsidRPr="00CC6F34">
        <w:t xml:space="preserve"> low complexity, low cost, low power consumption and low throughput</w:t>
      </w:r>
      <w:r w:rsidR="00CC6F34">
        <w:t xml:space="preserve">. And the </w:t>
      </w:r>
      <w:r w:rsidR="00CC6F34" w:rsidRPr="00CC6F34">
        <w:t>key requirements of IoT services are extended coverage, delay-tolerant and infrequent data transmissions, and support of massive communications.</w:t>
      </w:r>
      <w:r w:rsidR="00CC6F34">
        <w:t xml:space="preserve"> </w:t>
      </w:r>
    </w:p>
    <w:p w14:paraId="53B0B5BA" w14:textId="6475B713" w:rsidR="00074118" w:rsidRPr="00074118" w:rsidRDefault="00030E10" w:rsidP="00074118">
      <w:pPr>
        <w:rPr>
          <w:lang w:val="en-US"/>
        </w:rPr>
      </w:pPr>
      <w:r>
        <w:rPr>
          <w:lang w:val="en-US"/>
        </w:rPr>
        <w:t>For DCI</w:t>
      </w:r>
      <w:r w:rsidR="00FC5EEB">
        <w:rPr>
          <w:lang w:val="en-US"/>
        </w:rPr>
        <w:t>-based direct</w:t>
      </w:r>
      <w:r>
        <w:rPr>
          <w:lang w:val="en-US"/>
        </w:rPr>
        <w:t xml:space="preserve"> indication </w:t>
      </w:r>
      <w:r w:rsidR="005D4340">
        <w:rPr>
          <w:lang w:val="en-US"/>
        </w:rPr>
        <w:t xml:space="preserve">disabled HARQ feedback, </w:t>
      </w:r>
      <w:r w:rsidR="000A0950">
        <w:rPr>
          <w:lang w:val="en-US"/>
        </w:rPr>
        <w:t>to</w:t>
      </w:r>
      <w:r w:rsidR="00F642A9">
        <w:rPr>
          <w:lang w:val="en-US"/>
        </w:rPr>
        <w:t xml:space="preserve"> reduc</w:t>
      </w:r>
      <w:r w:rsidR="000A0950">
        <w:rPr>
          <w:lang w:val="en-US"/>
        </w:rPr>
        <w:t>e</w:t>
      </w:r>
      <w:r w:rsidR="00F642A9">
        <w:rPr>
          <w:lang w:val="en-US"/>
        </w:rPr>
        <w:t xml:space="preserve"> the DCI overhead, </w:t>
      </w:r>
      <w:r>
        <w:t>the</w:t>
      </w:r>
      <w:r w:rsidR="00A94443">
        <w:t xml:space="preserve"> </w:t>
      </w:r>
      <w:r w:rsidR="00074118" w:rsidRPr="00074118">
        <w:rPr>
          <w:lang w:val="en-US"/>
        </w:rPr>
        <w:t xml:space="preserve">configured or predefined M HARQ processes can be divided into N groups, </w:t>
      </w:r>
      <w:r w:rsidR="00A3106A">
        <w:rPr>
          <w:lang w:val="en-US"/>
        </w:rPr>
        <w:t xml:space="preserve">and </w:t>
      </w:r>
      <w:r w:rsidR="00074118" w:rsidRPr="00074118">
        <w:rPr>
          <w:lang w:val="en-US"/>
        </w:rPr>
        <w:t xml:space="preserve">eNB can disable HARQ-ACK feedback for one group through DCI dynamically. </w:t>
      </w:r>
      <w:r w:rsidR="00A3106A">
        <w:rPr>
          <w:lang w:val="en-US"/>
        </w:rPr>
        <w:t xml:space="preserve">Or </w:t>
      </w:r>
      <w:r w:rsidR="006E6592">
        <w:t>multiple</w:t>
      </w:r>
      <w:r w:rsidR="00A3106A" w:rsidRPr="00A3106A">
        <w:t xml:space="preserve"> HARQ process groups can be configured through RRC, </w:t>
      </w:r>
      <w:r w:rsidR="00EF426E">
        <w:t xml:space="preserve">and </w:t>
      </w:r>
      <w:r w:rsidR="00A3106A" w:rsidRPr="00A3106A">
        <w:t xml:space="preserve">each HARQ process belongs to one or more HARQ process </w:t>
      </w:r>
      <w:r w:rsidR="00C50503">
        <w:t>groups</w:t>
      </w:r>
      <w:r w:rsidR="00A3106A" w:rsidRPr="00A3106A">
        <w:t>.</w:t>
      </w:r>
      <w:r w:rsidR="00EF426E">
        <w:t xml:space="preserve"> And o</w:t>
      </w:r>
      <w:r w:rsidR="00A3106A" w:rsidRPr="00A3106A">
        <w:t xml:space="preserve">ne or multiple HARQ process </w:t>
      </w:r>
      <w:r w:rsidR="00C50503">
        <w:t>groups</w:t>
      </w:r>
      <w:r w:rsidR="00A3106A" w:rsidRPr="00A3106A">
        <w:t xml:space="preserve"> can be triggered for HARQ feedback disabled by a DCI. Such as a group ID or </w:t>
      </w:r>
      <w:r w:rsidR="006E6592">
        <w:t xml:space="preserve">a </w:t>
      </w:r>
      <w:r w:rsidR="00A3106A" w:rsidRPr="00A3106A">
        <w:t xml:space="preserve">bitmap </w:t>
      </w:r>
      <w:r w:rsidR="006E6592">
        <w:t xml:space="preserve">indication </w:t>
      </w:r>
      <w:r w:rsidR="00A3106A" w:rsidRPr="00A3106A">
        <w:t>for each HARQ process group can be included in the DCI to tell UE which HARQ process group(s) HARQ feedback disabled.</w:t>
      </w:r>
    </w:p>
    <w:p w14:paraId="729B72EB" w14:textId="47987AD4" w:rsidR="006A5893" w:rsidRDefault="006A5893" w:rsidP="002B2B58">
      <w:r>
        <w:t xml:space="preserve">Furthermore, </w:t>
      </w:r>
      <w:r w:rsidRPr="006A5893">
        <w:t xml:space="preserve">criteria for NW </w:t>
      </w:r>
      <w:r w:rsidR="00D30C22">
        <w:t>configur</w:t>
      </w:r>
      <w:r w:rsidR="00EF426E">
        <w:t>ation</w:t>
      </w:r>
      <w:r w:rsidRPr="006A5893">
        <w:t xml:space="preserve"> enabled and disabled HARQ-ACK feedback switch</w:t>
      </w:r>
      <w:r w:rsidR="00D30C22">
        <w:t>ing</w:t>
      </w:r>
      <w:r w:rsidRPr="006A5893">
        <w:t xml:space="preserve"> </w:t>
      </w:r>
      <w:r>
        <w:t>c</w:t>
      </w:r>
      <w:r w:rsidRPr="006A5893">
        <w:t>ould be specified</w:t>
      </w:r>
      <w:r>
        <w:t>.</w:t>
      </w:r>
      <w:r w:rsidR="00BF26D0">
        <w:t xml:space="preserve"> Such as based on </w:t>
      </w:r>
      <w:r w:rsidR="00BF26D0" w:rsidRPr="00BF26D0">
        <w:t>UE reported information (</w:t>
      </w:r>
      <w:r w:rsidR="00BF26D0">
        <w:t xml:space="preserve">e.g. </w:t>
      </w:r>
      <w:r w:rsidR="00BF26D0" w:rsidRPr="00BF26D0">
        <w:t xml:space="preserve">the </w:t>
      </w:r>
      <w:r w:rsidR="003528DE" w:rsidRPr="003528DE">
        <w:t>consecutive</w:t>
      </w:r>
      <w:r w:rsidR="003528DE">
        <w:t xml:space="preserve"> </w:t>
      </w:r>
      <w:r w:rsidR="00BF26D0" w:rsidRPr="00BF26D0">
        <w:t>detection failure</w:t>
      </w:r>
      <w:r w:rsidR="007A1409">
        <w:t xml:space="preserve"> or </w:t>
      </w:r>
      <w:r w:rsidR="007A1409" w:rsidRPr="007A1409">
        <w:t>success</w:t>
      </w:r>
      <w:r w:rsidR="00BF26D0" w:rsidRPr="00BF26D0">
        <w:t xml:space="preserve"> number, </w:t>
      </w:r>
      <w:r w:rsidR="009B770C">
        <w:t xml:space="preserve">ACK/NACK number, </w:t>
      </w:r>
      <w:r w:rsidR="00BF26D0" w:rsidRPr="00BF26D0">
        <w:t>buffer status</w:t>
      </w:r>
      <w:r w:rsidR="00A80A29">
        <w:t xml:space="preserve">, or </w:t>
      </w:r>
      <w:r w:rsidR="007475EE" w:rsidRPr="00A80A29">
        <w:rPr>
          <w:lang w:val="en-US"/>
        </w:rPr>
        <w:t>RSSI/RSRP/RSRQ</w:t>
      </w:r>
      <w:r w:rsidR="00BF26D0" w:rsidRPr="00BF26D0">
        <w:t>)</w:t>
      </w:r>
      <w:r w:rsidR="00A80A29">
        <w:t xml:space="preserve">, or </w:t>
      </w:r>
      <w:r w:rsidR="00A80A29" w:rsidRPr="00A80A29">
        <w:t>based on some predefined timer</w:t>
      </w:r>
      <w:r w:rsidR="00D30C22">
        <w:t>.</w:t>
      </w:r>
    </w:p>
    <w:p w14:paraId="260A451F" w14:textId="3D758081" w:rsidR="00A14553" w:rsidRPr="00607CC6" w:rsidRDefault="00A14553" w:rsidP="00CE333A">
      <w:pPr>
        <w:rPr>
          <w:b/>
          <w:bCs/>
          <w:i/>
        </w:rPr>
      </w:pPr>
      <w:bookmarkStart w:id="1" w:name="_Ref86257114"/>
      <w:r w:rsidRPr="00607CC6">
        <w:rPr>
          <w:b/>
          <w:bCs/>
          <w:i/>
        </w:rPr>
        <w:t xml:space="preserve">Proposal </w:t>
      </w:r>
      <w:r w:rsidR="00697F92">
        <w:rPr>
          <w:b/>
          <w:bCs/>
          <w:i/>
        </w:rPr>
        <w:t>1</w:t>
      </w:r>
      <w:r w:rsidR="002874F4">
        <w:rPr>
          <w:b/>
          <w:bCs/>
          <w:i/>
        </w:rPr>
        <w:t>:</w:t>
      </w:r>
      <w:r w:rsidR="00651658">
        <w:rPr>
          <w:b/>
          <w:bCs/>
          <w:i/>
        </w:rPr>
        <w:t xml:space="preserve"> </w:t>
      </w:r>
      <w:r w:rsidRPr="00607CC6">
        <w:rPr>
          <w:b/>
          <w:i/>
        </w:rPr>
        <w:t>One or multiple HARQ process group can be triggered for HARQ feedback disabled by DCI.</w:t>
      </w:r>
    </w:p>
    <w:p w14:paraId="3BA3C81A" w14:textId="3CE9C703" w:rsidR="00CE333A" w:rsidRPr="00607CC6" w:rsidRDefault="00CE333A" w:rsidP="00CE333A">
      <w:pPr>
        <w:rPr>
          <w:b/>
          <w:bCs/>
          <w:i/>
          <w:lang w:eastAsia="ko-KR"/>
        </w:rPr>
      </w:pPr>
      <w:r w:rsidRPr="00607CC6">
        <w:rPr>
          <w:b/>
          <w:bCs/>
          <w:i/>
        </w:rPr>
        <w:t xml:space="preserve">Proposal </w:t>
      </w:r>
      <w:r w:rsidR="00697F92">
        <w:rPr>
          <w:b/>
          <w:bCs/>
          <w:i/>
        </w:rPr>
        <w:t>2</w:t>
      </w:r>
      <w:r w:rsidR="002874F4">
        <w:rPr>
          <w:b/>
          <w:bCs/>
          <w:i/>
        </w:rPr>
        <w:t>:</w:t>
      </w:r>
      <w:r w:rsidR="00651658">
        <w:rPr>
          <w:b/>
          <w:bCs/>
          <w:i/>
        </w:rPr>
        <w:t xml:space="preserve"> </w:t>
      </w:r>
      <w:r w:rsidRPr="00607CC6">
        <w:rPr>
          <w:b/>
          <w:i/>
        </w:rPr>
        <w:t>A criteria for NW configuration enabled and disabled HARQ-ACK feedback switching could be specified.</w:t>
      </w:r>
    </w:p>
    <w:bookmarkEnd w:id="1"/>
    <w:p w14:paraId="2054F8EB" w14:textId="77777777" w:rsidR="009171F4" w:rsidRDefault="009171F4" w:rsidP="009171F4">
      <w:pPr>
        <w:pStyle w:val="2"/>
        <w:ind w:left="576"/>
      </w:pPr>
      <w:r w:rsidRPr="004D01CC">
        <w:t>HARQ feedback for scheduling multiple TB</w:t>
      </w:r>
    </w:p>
    <w:p w14:paraId="76DE2084" w14:textId="71743D71" w:rsidR="009171F4" w:rsidRDefault="009171F4" w:rsidP="009171F4">
      <w:r>
        <w:t>M</w:t>
      </w:r>
      <w:r w:rsidRPr="000F0A1D">
        <w:t xml:space="preserve">ultiple TB scheduling with single DCI is introduced in Rel-16 eMTC/NB-IoT for peak data rate increase. With single DCI, multiple TB are scheduled with interleaved or non-interleaved manner and corresponding feedback for each TB is performed after the data transmission with HARQ bundling or non-bundling. </w:t>
      </w:r>
      <w:r w:rsidR="000479A4">
        <w:t>F</w:t>
      </w:r>
      <w:r w:rsidRPr="000F0A1D">
        <w:t xml:space="preserve">or </w:t>
      </w:r>
      <w:r w:rsidR="0005792E" w:rsidRPr="0005792E">
        <w:t xml:space="preserve">DCI-based direct/overridden indication </w:t>
      </w:r>
      <w:r w:rsidRPr="000F0A1D">
        <w:t xml:space="preserve">downlink </w:t>
      </w:r>
      <w:r w:rsidR="0005792E" w:rsidRPr="000F0A1D">
        <w:t>HARQ feedback disabling</w:t>
      </w:r>
      <w:r w:rsidRPr="000F0A1D">
        <w:t>, solutions should be designed for the case of multi</w:t>
      </w:r>
      <w:r>
        <w:t xml:space="preserve">ple </w:t>
      </w:r>
      <w:r w:rsidRPr="000F0A1D">
        <w:t>TB</w:t>
      </w:r>
      <w:r w:rsidR="006034BD">
        <w:t xml:space="preserve"> scheduling</w:t>
      </w:r>
      <w:r w:rsidRPr="000F0A1D">
        <w:t>.</w:t>
      </w:r>
    </w:p>
    <w:p w14:paraId="42925D4A" w14:textId="77777777" w:rsidR="009171F4" w:rsidRDefault="009171F4" w:rsidP="009171F4">
      <w:r w:rsidRPr="00747ACF">
        <w:lastRenderedPageBreak/>
        <w:t>For one DCI scheduling multiple TB with mix</w:t>
      </w:r>
      <w:r>
        <w:t>ed</w:t>
      </w:r>
      <w:r w:rsidRPr="00747ACF">
        <w:t xml:space="preserve"> new TB and retransmission TB, UE </w:t>
      </w:r>
      <w:r>
        <w:t xml:space="preserve">can </w:t>
      </w:r>
      <w:r w:rsidRPr="00747ACF">
        <w:t xml:space="preserve">determine whether to do HARQ feedback for each TB based on the NDI information in the DCI. </w:t>
      </w:r>
      <w:r>
        <w:t xml:space="preserve">And </w:t>
      </w:r>
      <w:r w:rsidRPr="00747ACF">
        <w:t xml:space="preserve">through the NDI information for each TB, UE will implicitly know whether to do HARQ feedback for this TB. </w:t>
      </w:r>
      <w:r>
        <w:t>For example i</w:t>
      </w:r>
      <w:r w:rsidRPr="00747ACF">
        <w:t xml:space="preserve">f the TB is a new transmission, that is the NDI bit value toggled, then </w:t>
      </w:r>
      <w:r>
        <w:t>the</w:t>
      </w:r>
      <w:r w:rsidRPr="00747ACF">
        <w:t xml:space="preserve"> HARQ feedback is enabled for this TB, and if the TB is a retransmission, that is the NDI not toggled, then the HARQ feedback </w:t>
      </w:r>
      <w:r>
        <w:t>can be</w:t>
      </w:r>
      <w:r w:rsidRPr="00747ACF">
        <w:t xml:space="preserve"> disabled for this TB.</w:t>
      </w:r>
    </w:p>
    <w:p w14:paraId="0411CB1C" w14:textId="5A1B371A" w:rsidR="009171F4" w:rsidRDefault="009171F4" w:rsidP="009171F4">
      <w:pPr>
        <w:rPr>
          <w:b/>
          <w:bCs/>
          <w:i/>
        </w:rPr>
      </w:pPr>
      <w:r w:rsidRPr="00607CC6">
        <w:rPr>
          <w:b/>
          <w:bCs/>
          <w:i/>
        </w:rPr>
        <w:t xml:space="preserve">Proposal </w:t>
      </w:r>
      <w:r w:rsidR="001B04D4">
        <w:rPr>
          <w:b/>
          <w:bCs/>
          <w:i/>
        </w:rPr>
        <w:t>3</w:t>
      </w:r>
      <w:r>
        <w:rPr>
          <w:b/>
          <w:bCs/>
          <w:i/>
        </w:rPr>
        <w:t xml:space="preserve">: </w:t>
      </w:r>
      <w:r w:rsidRPr="00747ACF">
        <w:rPr>
          <w:b/>
          <w:bCs/>
          <w:i/>
        </w:rPr>
        <w:t xml:space="preserve">UE can determine whether to do HARQ feedback for each TB based on the NDI information </w:t>
      </w:r>
      <w:r>
        <w:rPr>
          <w:b/>
          <w:bCs/>
          <w:i/>
        </w:rPr>
        <w:t>for multiple TB scheduling</w:t>
      </w:r>
      <w:r w:rsidRPr="00747ACF">
        <w:rPr>
          <w:b/>
          <w:bCs/>
          <w:i/>
        </w:rPr>
        <w:t>.</w:t>
      </w:r>
    </w:p>
    <w:p w14:paraId="64CE545E" w14:textId="2ACE2C2D" w:rsidR="00017C1E" w:rsidRDefault="00017C1E" w:rsidP="00017C1E">
      <w:pPr>
        <w:rPr>
          <w:rFonts w:eastAsia="等线"/>
          <w:szCs w:val="20"/>
        </w:rPr>
      </w:pPr>
      <w:r w:rsidRPr="00FC0F9E">
        <w:rPr>
          <w:bCs/>
        </w:rPr>
        <w:t xml:space="preserve">Besides, the same solution as </w:t>
      </w:r>
      <w:r w:rsidR="00FC0F9E" w:rsidRPr="00FC0F9E">
        <w:rPr>
          <w:bCs/>
        </w:rPr>
        <w:t>multiple TBs scheduled by single DCI with only RRC bitmap-based solution configuration</w:t>
      </w:r>
      <w:r w:rsidR="00FC0F9E">
        <w:rPr>
          <w:bCs/>
        </w:rPr>
        <w:t xml:space="preserve"> can be reused for </w:t>
      </w:r>
      <w:r w:rsidR="00FC0F9E" w:rsidRPr="0005792E">
        <w:t>DCI-based overridden indication</w:t>
      </w:r>
      <w:r w:rsidR="00FC0F9E">
        <w:t xml:space="preserve"> solution. That is </w:t>
      </w:r>
      <w:r w:rsidRPr="00594D37">
        <w:rPr>
          <w:szCs w:val="20"/>
        </w:rPr>
        <w:t>Without HARQ-ACK bundling</w:t>
      </w:r>
      <w:r w:rsidR="00FC0F9E">
        <w:rPr>
          <w:szCs w:val="20"/>
        </w:rPr>
        <w:t xml:space="preserve">, </w:t>
      </w:r>
      <w:r w:rsidRPr="00532977">
        <w:rPr>
          <w:rFonts w:eastAsia="等线"/>
          <w:szCs w:val="20"/>
        </w:rPr>
        <w:t xml:space="preserve">HARQ feedback is not reported for TB with HARQ </w:t>
      </w:r>
      <w:r w:rsidR="00FC0F9E">
        <w:rPr>
          <w:rFonts w:eastAsia="等线"/>
          <w:szCs w:val="20"/>
        </w:rPr>
        <w:t xml:space="preserve">feedback disabled configuration and </w:t>
      </w:r>
      <w:r w:rsidR="00BC35D3">
        <w:rPr>
          <w:rFonts w:eastAsia="等线"/>
          <w:szCs w:val="20"/>
        </w:rPr>
        <w:t xml:space="preserve">the </w:t>
      </w:r>
      <w:r w:rsidRPr="00594D37">
        <w:rPr>
          <w:szCs w:val="20"/>
        </w:rPr>
        <w:t>HARQ timing</w:t>
      </w:r>
      <w:r w:rsidRPr="00594D37">
        <w:t xml:space="preserve"> </w:t>
      </w:r>
      <w:r w:rsidRPr="00594D37">
        <w:rPr>
          <w:szCs w:val="20"/>
        </w:rPr>
        <w:t>for TBs with HARQ feedback enabled</w:t>
      </w:r>
      <w:r w:rsidRPr="00532977">
        <w:rPr>
          <w:rFonts w:eastAsia="等线"/>
          <w:szCs w:val="20"/>
        </w:rPr>
        <w:t xml:space="preserve"> configuration</w:t>
      </w:r>
      <w:r w:rsidRPr="00594D37">
        <w:rPr>
          <w:szCs w:val="20"/>
        </w:rPr>
        <w:t xml:space="preserve"> does not count the legacy HARQ-ACK resource/HARQ timing adopted for TBs with HARQ feedback disabled</w:t>
      </w:r>
      <w:r w:rsidRPr="00532977">
        <w:rPr>
          <w:rFonts w:eastAsia="等线"/>
          <w:szCs w:val="20"/>
        </w:rPr>
        <w:t xml:space="preserve"> configuration</w:t>
      </w:r>
      <w:r w:rsidRPr="00594D37">
        <w:rPr>
          <w:szCs w:val="20"/>
        </w:rPr>
        <w:t>. With HARQ-ACK bundling</w:t>
      </w:r>
      <w:r w:rsidR="00FC0F9E">
        <w:rPr>
          <w:szCs w:val="20"/>
        </w:rPr>
        <w:t>,</w:t>
      </w:r>
      <w:r w:rsidR="00FC0F9E" w:rsidRPr="00532977">
        <w:rPr>
          <w:rFonts w:eastAsia="等线"/>
          <w:szCs w:val="20"/>
        </w:rPr>
        <w:t xml:space="preserve"> </w:t>
      </w:r>
      <w:r w:rsidRPr="00532977">
        <w:rPr>
          <w:rFonts w:eastAsia="等线"/>
          <w:szCs w:val="20"/>
        </w:rPr>
        <w:t>ACK is reported for TB with HARQ feedback disabled configuration for HARQ-ACK bundling</w:t>
      </w:r>
      <w:r w:rsidR="00BC35D3">
        <w:rPr>
          <w:rFonts w:eastAsia="等线"/>
          <w:szCs w:val="20"/>
        </w:rPr>
        <w:t xml:space="preserve"> a</w:t>
      </w:r>
      <w:r w:rsidR="00FC0F9E">
        <w:rPr>
          <w:rFonts w:eastAsia="等线"/>
          <w:szCs w:val="20"/>
        </w:rPr>
        <w:t>nd n</w:t>
      </w:r>
      <w:r>
        <w:rPr>
          <w:rFonts w:eastAsia="等线"/>
          <w:szCs w:val="20"/>
        </w:rPr>
        <w:t xml:space="preserve">o change to </w:t>
      </w:r>
      <w:r w:rsidRPr="00532977">
        <w:rPr>
          <w:rFonts w:eastAsia="等线"/>
          <w:szCs w:val="20"/>
        </w:rPr>
        <w:t xml:space="preserve">HARQ feedback </w:t>
      </w:r>
      <w:r>
        <w:rPr>
          <w:rFonts w:eastAsia="等线"/>
          <w:szCs w:val="20"/>
        </w:rPr>
        <w:t>timeline.</w:t>
      </w:r>
    </w:p>
    <w:p w14:paraId="5CC82A61" w14:textId="2B7A174C" w:rsidR="008E48ED" w:rsidRPr="008E48ED" w:rsidRDefault="001B04D4" w:rsidP="008E48ED">
      <w:pPr>
        <w:rPr>
          <w:b/>
          <w:bCs/>
          <w:i/>
        </w:rPr>
      </w:pPr>
      <w:r w:rsidRPr="00607CC6">
        <w:rPr>
          <w:b/>
          <w:bCs/>
          <w:i/>
        </w:rPr>
        <w:t xml:space="preserve">Proposal </w:t>
      </w:r>
      <w:r w:rsidR="008E48ED">
        <w:rPr>
          <w:b/>
          <w:bCs/>
          <w:i/>
        </w:rPr>
        <w:t>4</w:t>
      </w:r>
      <w:r>
        <w:rPr>
          <w:b/>
          <w:bCs/>
          <w:i/>
        </w:rPr>
        <w:t>:</w:t>
      </w:r>
      <w:r w:rsidR="008E48ED" w:rsidRPr="008E48ED">
        <w:t xml:space="preserve"> </w:t>
      </w:r>
      <w:r w:rsidR="008E48ED" w:rsidRPr="008E48ED">
        <w:rPr>
          <w:b/>
          <w:bCs/>
          <w:i/>
        </w:rPr>
        <w:t xml:space="preserve">For LTE-MTC/NB-IoT, for the multiple TBs scheduled by single DCI with </w:t>
      </w:r>
      <w:r w:rsidR="00DE3375" w:rsidRPr="00DE3375">
        <w:rPr>
          <w:b/>
          <w:bCs/>
          <w:i/>
        </w:rPr>
        <w:t>DCI-based overridden indication</w:t>
      </w:r>
      <w:r w:rsidR="00DE3375">
        <w:rPr>
          <w:b/>
          <w:bCs/>
          <w:i/>
        </w:rPr>
        <w:t xml:space="preserve"> </w:t>
      </w:r>
      <w:r w:rsidR="008E48ED" w:rsidRPr="008E48ED">
        <w:rPr>
          <w:b/>
          <w:bCs/>
          <w:i/>
        </w:rPr>
        <w:t>solution and with mixed HARQ feedback enabled/disabled scheduling</w:t>
      </w:r>
    </w:p>
    <w:p w14:paraId="060EC407" w14:textId="4B7A707A" w:rsidR="008E48ED" w:rsidRPr="008E48ED" w:rsidRDefault="008E48ED" w:rsidP="00864DFC">
      <w:pPr>
        <w:rPr>
          <w:b/>
          <w:bCs/>
          <w:i/>
        </w:rPr>
      </w:pPr>
      <w:r w:rsidRPr="008E48ED">
        <w:rPr>
          <w:b/>
          <w:bCs/>
          <w:i/>
        </w:rPr>
        <w:t>-</w:t>
      </w:r>
      <w:r w:rsidR="00864DFC">
        <w:rPr>
          <w:b/>
          <w:bCs/>
          <w:i/>
        </w:rPr>
        <w:t xml:space="preserve"> </w:t>
      </w:r>
      <w:r w:rsidRPr="008E48ED">
        <w:rPr>
          <w:b/>
          <w:bCs/>
          <w:i/>
        </w:rPr>
        <w:t>Without HARQ-ACK bundling</w:t>
      </w:r>
    </w:p>
    <w:p w14:paraId="7F82EC86" w14:textId="75CAE0A3" w:rsidR="008E48ED" w:rsidRPr="008E48ED" w:rsidRDefault="00864DFC" w:rsidP="00864DFC">
      <w:pPr>
        <w:ind w:leftChars="200" w:left="440"/>
        <w:rPr>
          <w:b/>
          <w:bCs/>
          <w:i/>
        </w:rPr>
      </w:pPr>
      <w:r>
        <w:rPr>
          <w:b/>
          <w:bCs/>
          <w:i/>
        </w:rPr>
        <w:t xml:space="preserve">- </w:t>
      </w:r>
      <w:r w:rsidR="008E48ED" w:rsidRPr="008E48ED">
        <w:rPr>
          <w:b/>
          <w:bCs/>
          <w:i/>
        </w:rPr>
        <w:t xml:space="preserve">HARQ feedback is not reported for TB with HARQ feedback disabled </w:t>
      </w:r>
      <w:r w:rsidR="005879D7">
        <w:rPr>
          <w:b/>
          <w:bCs/>
          <w:i/>
        </w:rPr>
        <w:t>indic</w:t>
      </w:r>
      <w:r w:rsidR="008E48ED" w:rsidRPr="008E48ED">
        <w:rPr>
          <w:b/>
          <w:bCs/>
          <w:i/>
        </w:rPr>
        <w:t>ation.</w:t>
      </w:r>
    </w:p>
    <w:p w14:paraId="370778E2" w14:textId="10D5416B" w:rsidR="008E48ED" w:rsidRPr="008E48ED" w:rsidRDefault="00864DFC" w:rsidP="008E48ED">
      <w:pPr>
        <w:rPr>
          <w:b/>
          <w:bCs/>
          <w:i/>
        </w:rPr>
      </w:pPr>
      <w:r>
        <w:rPr>
          <w:b/>
          <w:bCs/>
          <w:i/>
        </w:rPr>
        <w:t xml:space="preserve">- </w:t>
      </w:r>
      <w:r w:rsidR="008E48ED" w:rsidRPr="008E48ED">
        <w:rPr>
          <w:b/>
          <w:bCs/>
          <w:i/>
        </w:rPr>
        <w:t>With HARQ-ACK bundling</w:t>
      </w:r>
    </w:p>
    <w:p w14:paraId="6AC1839D" w14:textId="353BEB3A" w:rsidR="00017C1E" w:rsidRDefault="00864DFC" w:rsidP="00864DFC">
      <w:pPr>
        <w:ind w:leftChars="200" w:left="440"/>
        <w:rPr>
          <w:b/>
          <w:bCs/>
          <w:i/>
        </w:rPr>
      </w:pPr>
      <w:r>
        <w:rPr>
          <w:b/>
          <w:bCs/>
          <w:i/>
        </w:rPr>
        <w:t xml:space="preserve">- </w:t>
      </w:r>
      <w:r w:rsidR="008E48ED" w:rsidRPr="008E48ED">
        <w:rPr>
          <w:rFonts w:hint="eastAsia"/>
          <w:b/>
          <w:bCs/>
          <w:i/>
        </w:rPr>
        <w:t xml:space="preserve">ACK is reported for TB with HARQ feedback disabled </w:t>
      </w:r>
      <w:r w:rsidR="005879D7">
        <w:rPr>
          <w:b/>
          <w:bCs/>
          <w:i/>
        </w:rPr>
        <w:t>indic</w:t>
      </w:r>
      <w:r w:rsidR="008E48ED" w:rsidRPr="008E48ED">
        <w:rPr>
          <w:rFonts w:hint="eastAsia"/>
          <w:b/>
          <w:bCs/>
          <w:i/>
        </w:rPr>
        <w:t xml:space="preserve">ation for HARQ-ACK bundling. </w:t>
      </w:r>
    </w:p>
    <w:p w14:paraId="24694F7F" w14:textId="77777777" w:rsidR="006C6E46" w:rsidRPr="00B328F2" w:rsidRDefault="006C6E46" w:rsidP="006C6E46">
      <w:pPr>
        <w:pStyle w:val="1"/>
        <w:rPr>
          <w:lang w:eastAsia="ja-JP"/>
        </w:rPr>
      </w:pPr>
      <w:r w:rsidRPr="00B328F2">
        <w:rPr>
          <w:lang w:eastAsia="en-US"/>
        </w:rPr>
        <w:t xml:space="preserve">Conclusion </w:t>
      </w:r>
    </w:p>
    <w:p w14:paraId="771B8709" w14:textId="7618648B" w:rsidR="006C6E46" w:rsidRDefault="006C6E46" w:rsidP="006C6E46">
      <w:r w:rsidRPr="00B328F2">
        <w:t xml:space="preserve">From the discussion, we have the following proposals: </w:t>
      </w:r>
    </w:p>
    <w:p w14:paraId="322FEA0A" w14:textId="77777777" w:rsidR="006C6E46" w:rsidRPr="00607CC6" w:rsidRDefault="006C6E46" w:rsidP="006C6E46">
      <w:pPr>
        <w:rPr>
          <w:b/>
          <w:bCs/>
          <w:i/>
        </w:rPr>
      </w:pPr>
      <w:r w:rsidRPr="00607CC6">
        <w:rPr>
          <w:b/>
          <w:bCs/>
          <w:i/>
        </w:rPr>
        <w:t xml:space="preserve">Proposal </w:t>
      </w:r>
      <w:r>
        <w:rPr>
          <w:b/>
          <w:bCs/>
          <w:i/>
        </w:rPr>
        <w:t xml:space="preserve">1: </w:t>
      </w:r>
      <w:r w:rsidRPr="00607CC6">
        <w:rPr>
          <w:b/>
          <w:i/>
        </w:rPr>
        <w:t>One or multiple HARQ process group can be triggered for HARQ feedback disabled by DCI.</w:t>
      </w:r>
    </w:p>
    <w:p w14:paraId="733245BD" w14:textId="77777777" w:rsidR="006C6E46" w:rsidRPr="00607CC6" w:rsidRDefault="006C6E46" w:rsidP="006C6E46">
      <w:pPr>
        <w:rPr>
          <w:b/>
          <w:bCs/>
          <w:i/>
          <w:lang w:eastAsia="ko-KR"/>
        </w:rPr>
      </w:pPr>
      <w:r w:rsidRPr="00607CC6">
        <w:rPr>
          <w:b/>
          <w:bCs/>
          <w:i/>
        </w:rPr>
        <w:t xml:space="preserve">Proposal </w:t>
      </w:r>
      <w:r>
        <w:rPr>
          <w:b/>
          <w:bCs/>
          <w:i/>
        </w:rPr>
        <w:t xml:space="preserve">2: </w:t>
      </w:r>
      <w:r w:rsidRPr="00607CC6">
        <w:rPr>
          <w:b/>
          <w:i/>
        </w:rPr>
        <w:t>A criteria for NW configuration enabled and disabled HARQ-ACK feedback switching could be specified.</w:t>
      </w:r>
    </w:p>
    <w:p w14:paraId="2669BF96" w14:textId="77777777" w:rsidR="006C6E46" w:rsidRDefault="006C6E46" w:rsidP="006C6E46">
      <w:pPr>
        <w:rPr>
          <w:b/>
          <w:bCs/>
          <w:i/>
        </w:rPr>
      </w:pPr>
      <w:r w:rsidRPr="00607CC6">
        <w:rPr>
          <w:b/>
          <w:bCs/>
          <w:i/>
        </w:rPr>
        <w:t xml:space="preserve">Proposal </w:t>
      </w:r>
      <w:r>
        <w:rPr>
          <w:b/>
          <w:bCs/>
          <w:i/>
        </w:rPr>
        <w:t xml:space="preserve">3: </w:t>
      </w:r>
      <w:r w:rsidRPr="00747ACF">
        <w:rPr>
          <w:b/>
          <w:bCs/>
          <w:i/>
        </w:rPr>
        <w:t xml:space="preserve">UE can determine whether to do HARQ feedback for each TB based on the NDI information </w:t>
      </w:r>
      <w:r>
        <w:rPr>
          <w:b/>
          <w:bCs/>
          <w:i/>
        </w:rPr>
        <w:t>for multiple TB scheduling</w:t>
      </w:r>
      <w:r w:rsidRPr="00747ACF">
        <w:rPr>
          <w:b/>
          <w:bCs/>
          <w:i/>
        </w:rPr>
        <w:t>.</w:t>
      </w:r>
    </w:p>
    <w:p w14:paraId="2EFA34F7" w14:textId="77777777" w:rsidR="006C6E46" w:rsidRPr="008E48ED" w:rsidRDefault="006C6E46" w:rsidP="006C6E46">
      <w:pPr>
        <w:rPr>
          <w:b/>
          <w:bCs/>
          <w:i/>
        </w:rPr>
      </w:pPr>
      <w:r w:rsidRPr="00607CC6">
        <w:rPr>
          <w:b/>
          <w:bCs/>
          <w:i/>
        </w:rPr>
        <w:t xml:space="preserve">Proposal </w:t>
      </w:r>
      <w:r>
        <w:rPr>
          <w:b/>
          <w:bCs/>
          <w:i/>
        </w:rPr>
        <w:t>4:</w:t>
      </w:r>
      <w:r w:rsidRPr="008E48ED">
        <w:t xml:space="preserve"> </w:t>
      </w:r>
      <w:r w:rsidRPr="008E48ED">
        <w:rPr>
          <w:b/>
          <w:bCs/>
          <w:i/>
        </w:rPr>
        <w:t xml:space="preserve">For LTE-MTC/NB-IoT, for the multiple TBs scheduled by single DCI with </w:t>
      </w:r>
      <w:r w:rsidRPr="00DE3375">
        <w:rPr>
          <w:b/>
          <w:bCs/>
          <w:i/>
        </w:rPr>
        <w:t>DCI-based overridden indication</w:t>
      </w:r>
      <w:r>
        <w:rPr>
          <w:b/>
          <w:bCs/>
          <w:i/>
        </w:rPr>
        <w:t xml:space="preserve"> </w:t>
      </w:r>
      <w:r w:rsidRPr="008E48ED">
        <w:rPr>
          <w:b/>
          <w:bCs/>
          <w:i/>
        </w:rPr>
        <w:t>solution and with mixed HARQ feedback enabled/disabled scheduling</w:t>
      </w:r>
    </w:p>
    <w:p w14:paraId="4FCEB68E" w14:textId="77777777" w:rsidR="006C6E46" w:rsidRPr="008E48ED" w:rsidRDefault="006C6E46" w:rsidP="006C6E46">
      <w:pPr>
        <w:rPr>
          <w:b/>
          <w:bCs/>
          <w:i/>
        </w:rPr>
      </w:pPr>
      <w:r w:rsidRPr="008E48ED">
        <w:rPr>
          <w:b/>
          <w:bCs/>
          <w:i/>
        </w:rPr>
        <w:t>-</w:t>
      </w:r>
      <w:r>
        <w:rPr>
          <w:b/>
          <w:bCs/>
          <w:i/>
        </w:rPr>
        <w:t xml:space="preserve"> </w:t>
      </w:r>
      <w:r w:rsidRPr="008E48ED">
        <w:rPr>
          <w:b/>
          <w:bCs/>
          <w:i/>
        </w:rPr>
        <w:t>Without HARQ-ACK bundling</w:t>
      </w:r>
    </w:p>
    <w:p w14:paraId="483E42B9" w14:textId="3F609544" w:rsidR="006C6E46" w:rsidRPr="008E48ED" w:rsidRDefault="006C6E46" w:rsidP="006C6E46">
      <w:pPr>
        <w:ind w:leftChars="200" w:left="440"/>
        <w:rPr>
          <w:b/>
          <w:bCs/>
          <w:i/>
        </w:rPr>
      </w:pPr>
      <w:r>
        <w:rPr>
          <w:b/>
          <w:bCs/>
          <w:i/>
        </w:rPr>
        <w:t xml:space="preserve">- </w:t>
      </w:r>
      <w:r w:rsidRPr="008E48ED">
        <w:rPr>
          <w:b/>
          <w:bCs/>
          <w:i/>
        </w:rPr>
        <w:t xml:space="preserve">HARQ feedback is not reported for TB with HARQ feedback disabled </w:t>
      </w:r>
      <w:r w:rsidR="005879D7">
        <w:rPr>
          <w:b/>
          <w:bCs/>
          <w:i/>
        </w:rPr>
        <w:t>indic</w:t>
      </w:r>
      <w:r w:rsidRPr="008E48ED">
        <w:rPr>
          <w:b/>
          <w:bCs/>
          <w:i/>
        </w:rPr>
        <w:t>ation.</w:t>
      </w:r>
    </w:p>
    <w:p w14:paraId="6AF505A5" w14:textId="77777777" w:rsidR="006C6E46" w:rsidRPr="008E48ED" w:rsidRDefault="006C6E46" w:rsidP="006C6E46">
      <w:pPr>
        <w:rPr>
          <w:b/>
          <w:bCs/>
          <w:i/>
        </w:rPr>
      </w:pPr>
      <w:r>
        <w:rPr>
          <w:b/>
          <w:bCs/>
          <w:i/>
        </w:rPr>
        <w:t xml:space="preserve">- </w:t>
      </w:r>
      <w:r w:rsidRPr="008E48ED">
        <w:rPr>
          <w:b/>
          <w:bCs/>
          <w:i/>
        </w:rPr>
        <w:t>With HARQ-ACK bundling</w:t>
      </w:r>
    </w:p>
    <w:p w14:paraId="54E669A6" w14:textId="2D4220EE" w:rsidR="006C6E46" w:rsidRDefault="006C6E46" w:rsidP="006C6E46">
      <w:pPr>
        <w:ind w:leftChars="200" w:left="440"/>
        <w:rPr>
          <w:b/>
          <w:bCs/>
          <w:i/>
        </w:rPr>
      </w:pPr>
      <w:r>
        <w:rPr>
          <w:b/>
          <w:bCs/>
          <w:i/>
        </w:rPr>
        <w:t xml:space="preserve">- </w:t>
      </w:r>
      <w:r w:rsidRPr="008E48ED">
        <w:rPr>
          <w:rFonts w:hint="eastAsia"/>
          <w:b/>
          <w:bCs/>
          <w:i/>
        </w:rPr>
        <w:t xml:space="preserve">ACK is reported for TB with HARQ feedback disabled </w:t>
      </w:r>
      <w:r w:rsidR="005879D7">
        <w:rPr>
          <w:b/>
          <w:bCs/>
          <w:i/>
        </w:rPr>
        <w:t>indic</w:t>
      </w:r>
      <w:r w:rsidRPr="008E48ED">
        <w:rPr>
          <w:rFonts w:hint="eastAsia"/>
          <w:b/>
          <w:bCs/>
          <w:i/>
        </w:rPr>
        <w:t xml:space="preserve">ation for HARQ-ACK bundling. </w:t>
      </w:r>
    </w:p>
    <w:p w14:paraId="2FE48119" w14:textId="77777777" w:rsidR="007C3530" w:rsidRPr="006C6E46" w:rsidRDefault="007C3530" w:rsidP="00864DFC">
      <w:pPr>
        <w:ind w:leftChars="200" w:left="440"/>
        <w:rPr>
          <w:b/>
          <w:bCs/>
          <w:i/>
        </w:rPr>
      </w:pPr>
    </w:p>
    <w:p w14:paraId="0C608F38" w14:textId="40C99FB5" w:rsidR="00690981" w:rsidRPr="00B328F2" w:rsidRDefault="00690981" w:rsidP="00690981">
      <w:pPr>
        <w:pStyle w:val="1"/>
        <w:rPr>
          <w:lang w:eastAsia="ja-JP"/>
        </w:rPr>
      </w:pPr>
      <w:r w:rsidRPr="00B328F2">
        <w:rPr>
          <w:lang w:eastAsia="ja-JP"/>
        </w:rPr>
        <w:t xml:space="preserve">References </w:t>
      </w:r>
    </w:p>
    <w:p w14:paraId="7BDE738D" w14:textId="73D45098" w:rsidR="003C6D07" w:rsidRPr="00BF5D80" w:rsidRDefault="00C56E00" w:rsidP="00BF5D80">
      <w:pPr>
        <w:pStyle w:val="a4"/>
        <w:numPr>
          <w:ilvl w:val="0"/>
          <w:numId w:val="14"/>
        </w:numPr>
        <w:rPr>
          <w:bCs/>
        </w:rPr>
      </w:pPr>
      <w:r w:rsidRPr="00C22738">
        <w:t>RP-220979</w:t>
      </w:r>
      <w:r>
        <w:t>,</w:t>
      </w:r>
      <w:r w:rsidRPr="00170E17">
        <w:t xml:space="preserve"> </w:t>
      </w:r>
      <w:r w:rsidR="003C6D07" w:rsidRPr="003C6D07">
        <w:rPr>
          <w:bCs/>
        </w:rPr>
        <w:t xml:space="preserve">WID on IoT NTN enhancements. 3GPP TSG RAN Meeting </w:t>
      </w:r>
      <w:r w:rsidR="007E0117">
        <w:rPr>
          <w:bCs/>
        </w:rPr>
        <w:t>#</w:t>
      </w:r>
      <w:r w:rsidR="003C6D07" w:rsidRPr="003C6D07">
        <w:rPr>
          <w:bCs/>
        </w:rPr>
        <w:t>95e, March 17 - 23, 2022.</w:t>
      </w:r>
    </w:p>
    <w:p w14:paraId="2B5EA6F4" w14:textId="628F6739" w:rsidR="00E46466" w:rsidRPr="00B328F2" w:rsidRDefault="00E46466" w:rsidP="00A277BA"/>
    <w:sectPr w:rsidR="00E46466" w:rsidRPr="00B328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CE33F" w14:textId="77777777" w:rsidR="0040518C" w:rsidRDefault="0040518C" w:rsidP="006A5893">
      <w:pPr>
        <w:spacing w:after="0" w:line="240" w:lineRule="auto"/>
      </w:pPr>
      <w:r>
        <w:separator/>
      </w:r>
    </w:p>
  </w:endnote>
  <w:endnote w:type="continuationSeparator" w:id="0">
    <w:p w14:paraId="3FEC7D51" w14:textId="77777777" w:rsidR="0040518C" w:rsidRDefault="0040518C" w:rsidP="006A5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A8473" w14:textId="77777777" w:rsidR="0040518C" w:rsidRDefault="0040518C" w:rsidP="006A5893">
      <w:pPr>
        <w:spacing w:after="0" w:line="240" w:lineRule="auto"/>
      </w:pPr>
      <w:r>
        <w:separator/>
      </w:r>
    </w:p>
  </w:footnote>
  <w:footnote w:type="continuationSeparator" w:id="0">
    <w:p w14:paraId="44AFE95F" w14:textId="77777777" w:rsidR="0040518C" w:rsidRDefault="0040518C" w:rsidP="006A5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6E21"/>
    <w:multiLevelType w:val="hybridMultilevel"/>
    <w:tmpl w:val="9766888C"/>
    <w:lvl w:ilvl="0" w:tplc="FFFFFFFF">
      <w:start w:val="2"/>
      <w:numFmt w:val="bullet"/>
      <w:lvlText w:val="-"/>
      <w:lvlJc w:val="left"/>
      <w:pPr>
        <w:ind w:left="440" w:hanging="440"/>
      </w:pPr>
      <w:rPr>
        <w:rFonts w:ascii="Times New Roman" w:eastAsia="PMingLiU" w:hAnsi="Times New Roman" w:cs="Times New Roman" w:hint="default"/>
      </w:rPr>
    </w:lvl>
    <w:lvl w:ilvl="1" w:tplc="DF02E27E">
      <w:start w:val="2"/>
      <w:numFmt w:val="bullet"/>
      <w:lvlText w:val="-"/>
      <w:lvlJc w:val="left"/>
      <w:pPr>
        <w:ind w:left="880" w:hanging="440"/>
      </w:pPr>
      <w:rPr>
        <w:rFonts w:ascii="Times New Roman" w:eastAsia="PMingLiU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0F734D1"/>
    <w:multiLevelType w:val="multilevel"/>
    <w:tmpl w:val="9B906E78"/>
    <w:lvl w:ilvl="0">
      <w:numFmt w:val="bullet"/>
      <w:lvlText w:val="•"/>
      <w:lvlJc w:val="left"/>
      <w:pPr>
        <w:ind w:left="600" w:hanging="36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096404D3"/>
    <w:multiLevelType w:val="hybridMultilevel"/>
    <w:tmpl w:val="4D52D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F6118"/>
    <w:multiLevelType w:val="multilevel"/>
    <w:tmpl w:val="113F611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165525"/>
    <w:multiLevelType w:val="hybridMultilevel"/>
    <w:tmpl w:val="7C86ACCA"/>
    <w:lvl w:ilvl="0" w:tplc="3A6E1A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EE64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4A48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00E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16F4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C0E5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A4F6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5AFA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5271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9453321"/>
    <w:multiLevelType w:val="multilevel"/>
    <w:tmpl w:val="2618AFF8"/>
    <w:lvl w:ilvl="0">
      <w:numFmt w:val="bullet"/>
      <w:lvlText w:val="•"/>
      <w:lvlJc w:val="left"/>
      <w:pPr>
        <w:ind w:left="600" w:hanging="36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19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7" w15:restartNumberingAfterBreak="0">
    <w:nsid w:val="21027D09"/>
    <w:multiLevelType w:val="hybridMultilevel"/>
    <w:tmpl w:val="B680E016"/>
    <w:lvl w:ilvl="0" w:tplc="06F2D274">
      <w:start w:val="1"/>
      <w:numFmt w:val="decimal"/>
      <w:lvlText w:val="[%1]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443AD"/>
    <w:multiLevelType w:val="hybridMultilevel"/>
    <w:tmpl w:val="308E06CC"/>
    <w:lvl w:ilvl="0" w:tplc="FEA6DA00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EA6DA00">
      <w:start w:val="2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C22AFA"/>
    <w:multiLevelType w:val="multilevel"/>
    <w:tmpl w:val="2DC22AFA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E1060E4"/>
    <w:multiLevelType w:val="hybridMultilevel"/>
    <w:tmpl w:val="0E6C91D4"/>
    <w:lvl w:ilvl="0" w:tplc="EDCEB75A">
      <w:start w:val="1"/>
      <w:numFmt w:val="decimal"/>
      <w:lvlText w:val="Observation 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4D6B14"/>
    <w:multiLevelType w:val="hybridMultilevel"/>
    <w:tmpl w:val="72D60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628AF"/>
    <w:multiLevelType w:val="hybridMultilevel"/>
    <w:tmpl w:val="1B9480A4"/>
    <w:lvl w:ilvl="0" w:tplc="040C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3" w15:restartNumberingAfterBreak="0">
    <w:nsid w:val="35B402F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55112B"/>
    <w:multiLevelType w:val="hybridMultilevel"/>
    <w:tmpl w:val="95C2CFD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8C3B0D"/>
    <w:multiLevelType w:val="hybridMultilevel"/>
    <w:tmpl w:val="D60052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FA2A0A">
      <w:numFmt w:val="bullet"/>
      <w:lvlText w:val="-"/>
      <w:lvlJc w:val="left"/>
      <w:pPr>
        <w:ind w:left="2160" w:hanging="360"/>
      </w:pPr>
      <w:rPr>
        <w:rFonts w:ascii="Malgun Gothic" w:eastAsia="Malgun Gothic" w:hAnsi="Malgun Gothic" w:cs="Times New Roman" w:hint="eastAsia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106F4"/>
    <w:multiLevelType w:val="hybridMultilevel"/>
    <w:tmpl w:val="D584B566"/>
    <w:lvl w:ilvl="0" w:tplc="EDCEB75A">
      <w:start w:val="1"/>
      <w:numFmt w:val="decimal"/>
      <w:lvlText w:val="Observation 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CA767E"/>
    <w:multiLevelType w:val="hybridMultilevel"/>
    <w:tmpl w:val="476447E6"/>
    <w:lvl w:ilvl="0" w:tplc="C50C064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4A0931"/>
    <w:multiLevelType w:val="hybridMultilevel"/>
    <w:tmpl w:val="C030A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74C08"/>
    <w:multiLevelType w:val="multilevel"/>
    <w:tmpl w:val="6B365D9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3E66457"/>
    <w:multiLevelType w:val="hybridMultilevel"/>
    <w:tmpl w:val="73388BC6"/>
    <w:lvl w:ilvl="0" w:tplc="DF02E27E">
      <w:start w:val="2"/>
      <w:numFmt w:val="bullet"/>
      <w:lvlText w:val="-"/>
      <w:lvlJc w:val="left"/>
      <w:pPr>
        <w:ind w:left="440" w:hanging="44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8613AE7"/>
    <w:multiLevelType w:val="multilevel"/>
    <w:tmpl w:val="EB0840B4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2479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4" w15:restartNumberingAfterBreak="0">
    <w:nsid w:val="59DE693A"/>
    <w:multiLevelType w:val="hybridMultilevel"/>
    <w:tmpl w:val="5860E6FE"/>
    <w:lvl w:ilvl="0" w:tplc="5328A2C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68C788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64F4D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9C128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487E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0C1A2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12EC6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ECC7D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1AC43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C75E8"/>
    <w:multiLevelType w:val="hybridMultilevel"/>
    <w:tmpl w:val="F7701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F2F38"/>
    <w:multiLevelType w:val="hybridMultilevel"/>
    <w:tmpl w:val="72CECB7A"/>
    <w:lvl w:ilvl="0" w:tplc="885A8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6A6E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7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609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20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3AC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E5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A20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8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D75E0C"/>
    <w:multiLevelType w:val="hybridMultilevel"/>
    <w:tmpl w:val="7B0CD9E6"/>
    <w:lvl w:ilvl="0" w:tplc="6C2C5E12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BF2ADA"/>
    <w:multiLevelType w:val="multilevel"/>
    <w:tmpl w:val="5DBF2ADA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ED9785B"/>
    <w:multiLevelType w:val="multilevel"/>
    <w:tmpl w:val="5ED9785B"/>
    <w:lvl w:ilvl="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4E647F"/>
    <w:multiLevelType w:val="hybridMultilevel"/>
    <w:tmpl w:val="47B456E8"/>
    <w:lvl w:ilvl="0" w:tplc="556A52B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701A26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2A30D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C4FBE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B833D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C06DA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F6737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D4980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B83B2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D76071"/>
    <w:multiLevelType w:val="hybridMultilevel"/>
    <w:tmpl w:val="164CD63C"/>
    <w:lvl w:ilvl="0" w:tplc="715095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0581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0E7EC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A62E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B0AE5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C801F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70BFF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DE43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86F6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B1152"/>
    <w:multiLevelType w:val="hybridMultilevel"/>
    <w:tmpl w:val="62BA14B8"/>
    <w:lvl w:ilvl="0" w:tplc="4AE49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C6DD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005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496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00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128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8F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D62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4C8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0430E3C"/>
    <w:multiLevelType w:val="hybridMultilevel"/>
    <w:tmpl w:val="C78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965CE"/>
    <w:multiLevelType w:val="multilevel"/>
    <w:tmpl w:val="9B906E78"/>
    <w:lvl w:ilvl="0">
      <w:numFmt w:val="bullet"/>
      <w:lvlText w:val="•"/>
      <w:lvlJc w:val="left"/>
      <w:pPr>
        <w:ind w:left="600" w:hanging="36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6" w15:restartNumberingAfterBreak="0">
    <w:nsid w:val="768A6F5E"/>
    <w:multiLevelType w:val="hybridMultilevel"/>
    <w:tmpl w:val="48A8AFC6"/>
    <w:lvl w:ilvl="0" w:tplc="DF02E27E">
      <w:start w:val="2"/>
      <w:numFmt w:val="bullet"/>
      <w:lvlText w:val="-"/>
      <w:lvlJc w:val="left"/>
      <w:pPr>
        <w:ind w:left="440" w:hanging="440"/>
      </w:pPr>
      <w:rPr>
        <w:rFonts w:ascii="Times New Roman" w:eastAsia="PMingLiU" w:hAnsi="Times New Roman" w:cs="Times New Roman" w:hint="default"/>
      </w:rPr>
    </w:lvl>
    <w:lvl w:ilvl="1" w:tplc="DF02E27E">
      <w:start w:val="2"/>
      <w:numFmt w:val="bullet"/>
      <w:lvlText w:val="-"/>
      <w:lvlJc w:val="left"/>
      <w:pPr>
        <w:ind w:left="880" w:hanging="440"/>
      </w:pPr>
      <w:rPr>
        <w:rFonts w:ascii="Times New Roman" w:eastAsia="PMingLiU" w:hAnsi="Times New Roman" w:cs="Times New Roman" w:hint="default"/>
      </w:rPr>
    </w:lvl>
    <w:lvl w:ilvl="2" w:tplc="DF02E27E">
      <w:start w:val="2"/>
      <w:numFmt w:val="bullet"/>
      <w:lvlText w:val="-"/>
      <w:lvlJc w:val="left"/>
      <w:pPr>
        <w:ind w:left="1320" w:hanging="440"/>
      </w:pPr>
      <w:rPr>
        <w:rFonts w:ascii="Times New Roman" w:eastAsia="PMingLiU" w:hAnsi="Times New Roman" w:cs="Times New Roman" w:hint="default"/>
      </w:rPr>
    </w:lvl>
    <w:lvl w:ilvl="3" w:tplc="DF02E27E">
      <w:start w:val="2"/>
      <w:numFmt w:val="bullet"/>
      <w:lvlText w:val="-"/>
      <w:lvlJc w:val="left"/>
      <w:pPr>
        <w:ind w:left="1760" w:hanging="440"/>
      </w:pPr>
      <w:rPr>
        <w:rFonts w:ascii="Times New Roman" w:eastAsia="PMingLiU" w:hAnsi="Times New Roman" w:cs="Times New Roman" w:hint="default"/>
      </w:rPr>
    </w:lvl>
    <w:lvl w:ilvl="4" w:tplc="DF02E27E">
      <w:start w:val="2"/>
      <w:numFmt w:val="bullet"/>
      <w:lvlText w:val="-"/>
      <w:lvlJc w:val="left"/>
      <w:pPr>
        <w:ind w:left="2200" w:hanging="440"/>
      </w:pPr>
      <w:rPr>
        <w:rFonts w:ascii="Times New Roman" w:eastAsia="PMingLiU" w:hAnsi="Times New Roman" w:cs="Times New Roman" w:hint="default"/>
      </w:rPr>
    </w:lvl>
    <w:lvl w:ilvl="5" w:tplc="DF02E27E">
      <w:start w:val="2"/>
      <w:numFmt w:val="bullet"/>
      <w:lvlText w:val="-"/>
      <w:lvlJc w:val="left"/>
      <w:pPr>
        <w:ind w:left="2640" w:hanging="440"/>
      </w:pPr>
      <w:rPr>
        <w:rFonts w:ascii="Times New Roman" w:eastAsia="PMingLiU" w:hAnsi="Times New Roman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83861C8"/>
    <w:multiLevelType w:val="multilevel"/>
    <w:tmpl w:val="2618AFF8"/>
    <w:lvl w:ilvl="0">
      <w:numFmt w:val="bullet"/>
      <w:lvlText w:val="•"/>
      <w:lvlJc w:val="left"/>
      <w:pPr>
        <w:ind w:left="600" w:hanging="36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19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8" w15:restartNumberingAfterBreak="0">
    <w:nsid w:val="7F011984"/>
    <w:multiLevelType w:val="multilevel"/>
    <w:tmpl w:val="7F011984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1"/>
  </w:num>
  <w:num w:numId="4">
    <w:abstractNumId w:val="27"/>
  </w:num>
  <w:num w:numId="5">
    <w:abstractNumId w:val="19"/>
  </w:num>
  <w:num w:numId="6">
    <w:abstractNumId w:val="2"/>
  </w:num>
  <w:num w:numId="7">
    <w:abstractNumId w:val="11"/>
  </w:num>
  <w:num w:numId="8">
    <w:abstractNumId w:val="16"/>
  </w:num>
  <w:num w:numId="9">
    <w:abstractNumId w:val="35"/>
  </w:num>
  <w:num w:numId="10">
    <w:abstractNumId w:val="38"/>
  </w:num>
  <w:num w:numId="11">
    <w:abstractNumId w:val="20"/>
  </w:num>
  <w:num w:numId="12">
    <w:abstractNumId w:val="28"/>
  </w:num>
  <w:num w:numId="13">
    <w:abstractNumId w:val="8"/>
  </w:num>
  <w:num w:numId="14">
    <w:abstractNumId w:val="7"/>
  </w:num>
  <w:num w:numId="15">
    <w:abstractNumId w:val="33"/>
  </w:num>
  <w:num w:numId="16">
    <w:abstractNumId w:val="3"/>
  </w:num>
  <w:num w:numId="17">
    <w:abstractNumId w:val="21"/>
  </w:num>
  <w:num w:numId="18">
    <w:abstractNumId w:val="14"/>
  </w:num>
  <w:num w:numId="19">
    <w:abstractNumId w:val="17"/>
  </w:num>
  <w:num w:numId="20">
    <w:abstractNumId w:val="6"/>
  </w:num>
  <w:num w:numId="21">
    <w:abstractNumId w:val="1"/>
  </w:num>
  <w:num w:numId="22">
    <w:abstractNumId w:val="37"/>
  </w:num>
  <w:num w:numId="23">
    <w:abstractNumId w:val="25"/>
  </w:num>
  <w:num w:numId="24">
    <w:abstractNumId w:val="10"/>
  </w:num>
  <w:num w:numId="25">
    <w:abstractNumId w:val="5"/>
  </w:num>
  <w:num w:numId="26">
    <w:abstractNumId w:val="26"/>
  </w:num>
  <w:num w:numId="27">
    <w:abstractNumId w:val="24"/>
  </w:num>
  <w:num w:numId="28">
    <w:abstractNumId w:val="32"/>
  </w:num>
  <w:num w:numId="29">
    <w:abstractNumId w:val="4"/>
  </w:num>
  <w:num w:numId="30">
    <w:abstractNumId w:val="21"/>
  </w:num>
  <w:num w:numId="31">
    <w:abstractNumId w:val="21"/>
  </w:num>
  <w:num w:numId="32">
    <w:abstractNumId w:val="9"/>
  </w:num>
  <w:num w:numId="33">
    <w:abstractNumId w:val="29"/>
  </w:num>
  <w:num w:numId="34">
    <w:abstractNumId w:val="30"/>
  </w:num>
  <w:num w:numId="35">
    <w:abstractNumId w:val="31"/>
  </w:num>
  <w:num w:numId="36">
    <w:abstractNumId w:val="15"/>
  </w:num>
  <w:num w:numId="37">
    <w:abstractNumId w:val="34"/>
  </w:num>
  <w:num w:numId="38">
    <w:abstractNumId w:val="23"/>
  </w:num>
  <w:num w:numId="39">
    <w:abstractNumId w:val="18"/>
  </w:num>
  <w:num w:numId="40">
    <w:abstractNumId w:val="36"/>
  </w:num>
  <w:num w:numId="41">
    <w:abstractNumId w:val="22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C3NDI0MDQ1NDIwNDZT0lEKTi0uzszPAykwqQUAALiyTiwAAAA="/>
  </w:docVars>
  <w:rsids>
    <w:rsidRoot w:val="00C155C4"/>
    <w:rsid w:val="00002FC7"/>
    <w:rsid w:val="000101E2"/>
    <w:rsid w:val="000133E0"/>
    <w:rsid w:val="00014901"/>
    <w:rsid w:val="00015E44"/>
    <w:rsid w:val="00016B20"/>
    <w:rsid w:val="00017C1E"/>
    <w:rsid w:val="00020AFA"/>
    <w:rsid w:val="00030E10"/>
    <w:rsid w:val="000479A4"/>
    <w:rsid w:val="00055F8B"/>
    <w:rsid w:val="000562DA"/>
    <w:rsid w:val="0005792E"/>
    <w:rsid w:val="0006178E"/>
    <w:rsid w:val="0007000C"/>
    <w:rsid w:val="00074118"/>
    <w:rsid w:val="00077D7F"/>
    <w:rsid w:val="00080B75"/>
    <w:rsid w:val="00083FDC"/>
    <w:rsid w:val="00086630"/>
    <w:rsid w:val="0008682A"/>
    <w:rsid w:val="00087C6D"/>
    <w:rsid w:val="00091C85"/>
    <w:rsid w:val="0009264A"/>
    <w:rsid w:val="00093C6A"/>
    <w:rsid w:val="000A0950"/>
    <w:rsid w:val="000B1487"/>
    <w:rsid w:val="000B321B"/>
    <w:rsid w:val="000D610B"/>
    <w:rsid w:val="000E2DF8"/>
    <w:rsid w:val="000E6D6C"/>
    <w:rsid w:val="000F0A1D"/>
    <w:rsid w:val="000F7080"/>
    <w:rsid w:val="00125809"/>
    <w:rsid w:val="00131819"/>
    <w:rsid w:val="00132A04"/>
    <w:rsid w:val="00134894"/>
    <w:rsid w:val="00134E10"/>
    <w:rsid w:val="001377CB"/>
    <w:rsid w:val="00141574"/>
    <w:rsid w:val="001446D3"/>
    <w:rsid w:val="00147FEB"/>
    <w:rsid w:val="0015691F"/>
    <w:rsid w:val="001601E6"/>
    <w:rsid w:val="00161357"/>
    <w:rsid w:val="0016193E"/>
    <w:rsid w:val="001637F7"/>
    <w:rsid w:val="00164C63"/>
    <w:rsid w:val="001669F9"/>
    <w:rsid w:val="00170250"/>
    <w:rsid w:val="00172B97"/>
    <w:rsid w:val="0017460B"/>
    <w:rsid w:val="0017484E"/>
    <w:rsid w:val="00181414"/>
    <w:rsid w:val="00182453"/>
    <w:rsid w:val="0018305D"/>
    <w:rsid w:val="001966F4"/>
    <w:rsid w:val="001A0DE5"/>
    <w:rsid w:val="001A45BA"/>
    <w:rsid w:val="001A66D4"/>
    <w:rsid w:val="001B04D4"/>
    <w:rsid w:val="001B2E58"/>
    <w:rsid w:val="001B6D2F"/>
    <w:rsid w:val="001C4290"/>
    <w:rsid w:val="001C65DE"/>
    <w:rsid w:val="001D4EAD"/>
    <w:rsid w:val="001D6BC9"/>
    <w:rsid w:val="001E1E68"/>
    <w:rsid w:val="001E3173"/>
    <w:rsid w:val="001E4EE1"/>
    <w:rsid w:val="001F3329"/>
    <w:rsid w:val="002006DC"/>
    <w:rsid w:val="00203644"/>
    <w:rsid w:val="00205321"/>
    <w:rsid w:val="002119A6"/>
    <w:rsid w:val="0021240C"/>
    <w:rsid w:val="0021770D"/>
    <w:rsid w:val="0022071E"/>
    <w:rsid w:val="00226B89"/>
    <w:rsid w:val="0023155C"/>
    <w:rsid w:val="00232E83"/>
    <w:rsid w:val="002354E1"/>
    <w:rsid w:val="00243A15"/>
    <w:rsid w:val="00246308"/>
    <w:rsid w:val="00255503"/>
    <w:rsid w:val="00261191"/>
    <w:rsid w:val="00267DA6"/>
    <w:rsid w:val="00267FC3"/>
    <w:rsid w:val="00271554"/>
    <w:rsid w:val="0027160B"/>
    <w:rsid w:val="0028440F"/>
    <w:rsid w:val="002874F4"/>
    <w:rsid w:val="00290921"/>
    <w:rsid w:val="00290A58"/>
    <w:rsid w:val="00291E25"/>
    <w:rsid w:val="00296737"/>
    <w:rsid w:val="002A23D2"/>
    <w:rsid w:val="002A2E4D"/>
    <w:rsid w:val="002B2B58"/>
    <w:rsid w:val="002C1F06"/>
    <w:rsid w:val="002C265E"/>
    <w:rsid w:val="002C6150"/>
    <w:rsid w:val="002D444E"/>
    <w:rsid w:val="002E38B4"/>
    <w:rsid w:val="002F62E5"/>
    <w:rsid w:val="00301B87"/>
    <w:rsid w:val="00304F77"/>
    <w:rsid w:val="003123B8"/>
    <w:rsid w:val="0031263E"/>
    <w:rsid w:val="00313666"/>
    <w:rsid w:val="0032095F"/>
    <w:rsid w:val="0032177C"/>
    <w:rsid w:val="0033013B"/>
    <w:rsid w:val="00333B9B"/>
    <w:rsid w:val="00333E63"/>
    <w:rsid w:val="00341228"/>
    <w:rsid w:val="00350D2A"/>
    <w:rsid w:val="003528DE"/>
    <w:rsid w:val="003536CD"/>
    <w:rsid w:val="00362BCC"/>
    <w:rsid w:val="0036763D"/>
    <w:rsid w:val="00370C27"/>
    <w:rsid w:val="0037686E"/>
    <w:rsid w:val="00385CC4"/>
    <w:rsid w:val="00391E3D"/>
    <w:rsid w:val="00392C95"/>
    <w:rsid w:val="003938A2"/>
    <w:rsid w:val="003A0022"/>
    <w:rsid w:val="003A2837"/>
    <w:rsid w:val="003A67B8"/>
    <w:rsid w:val="003B2BC7"/>
    <w:rsid w:val="003B4F9C"/>
    <w:rsid w:val="003C6D07"/>
    <w:rsid w:val="003D4E45"/>
    <w:rsid w:val="003E3E55"/>
    <w:rsid w:val="003F3240"/>
    <w:rsid w:val="003F385B"/>
    <w:rsid w:val="003F394F"/>
    <w:rsid w:val="0040214A"/>
    <w:rsid w:val="00402CE1"/>
    <w:rsid w:val="0040518C"/>
    <w:rsid w:val="0040718C"/>
    <w:rsid w:val="00421604"/>
    <w:rsid w:val="00423E94"/>
    <w:rsid w:val="00431C36"/>
    <w:rsid w:val="00432DC6"/>
    <w:rsid w:val="004355A5"/>
    <w:rsid w:val="00442CEC"/>
    <w:rsid w:val="0044562D"/>
    <w:rsid w:val="00451207"/>
    <w:rsid w:val="004549AB"/>
    <w:rsid w:val="00456D36"/>
    <w:rsid w:val="0046252E"/>
    <w:rsid w:val="00462C04"/>
    <w:rsid w:val="00464D98"/>
    <w:rsid w:val="004673FD"/>
    <w:rsid w:val="0046759C"/>
    <w:rsid w:val="00475B53"/>
    <w:rsid w:val="00475E76"/>
    <w:rsid w:val="00475F7B"/>
    <w:rsid w:val="00476877"/>
    <w:rsid w:val="004857E1"/>
    <w:rsid w:val="00494429"/>
    <w:rsid w:val="0049651D"/>
    <w:rsid w:val="004A2C8A"/>
    <w:rsid w:val="004A47B7"/>
    <w:rsid w:val="004A6A7F"/>
    <w:rsid w:val="004A6A8B"/>
    <w:rsid w:val="004A7D3E"/>
    <w:rsid w:val="004C02BC"/>
    <w:rsid w:val="004D01CC"/>
    <w:rsid w:val="004D18F5"/>
    <w:rsid w:val="004D4139"/>
    <w:rsid w:val="004D7445"/>
    <w:rsid w:val="004F4C06"/>
    <w:rsid w:val="004F6922"/>
    <w:rsid w:val="00501082"/>
    <w:rsid w:val="005039CD"/>
    <w:rsid w:val="00510F89"/>
    <w:rsid w:val="0051324E"/>
    <w:rsid w:val="00520120"/>
    <w:rsid w:val="00520F9E"/>
    <w:rsid w:val="00526447"/>
    <w:rsid w:val="00527DCC"/>
    <w:rsid w:val="005301FE"/>
    <w:rsid w:val="00533372"/>
    <w:rsid w:val="005337D2"/>
    <w:rsid w:val="00535022"/>
    <w:rsid w:val="00540484"/>
    <w:rsid w:val="00543F48"/>
    <w:rsid w:val="0055031F"/>
    <w:rsid w:val="005633E8"/>
    <w:rsid w:val="005673E3"/>
    <w:rsid w:val="00573958"/>
    <w:rsid w:val="005747DF"/>
    <w:rsid w:val="00582065"/>
    <w:rsid w:val="005879D7"/>
    <w:rsid w:val="00590118"/>
    <w:rsid w:val="005B3346"/>
    <w:rsid w:val="005B4026"/>
    <w:rsid w:val="005B5B37"/>
    <w:rsid w:val="005C30F3"/>
    <w:rsid w:val="005C6F8B"/>
    <w:rsid w:val="005D25E8"/>
    <w:rsid w:val="005D4340"/>
    <w:rsid w:val="005E5844"/>
    <w:rsid w:val="005E6866"/>
    <w:rsid w:val="005F05B2"/>
    <w:rsid w:val="005F4ADD"/>
    <w:rsid w:val="005F5375"/>
    <w:rsid w:val="005F7E43"/>
    <w:rsid w:val="00601477"/>
    <w:rsid w:val="006034BD"/>
    <w:rsid w:val="00607CC6"/>
    <w:rsid w:val="00611324"/>
    <w:rsid w:val="00634CDA"/>
    <w:rsid w:val="00635BCD"/>
    <w:rsid w:val="00636E60"/>
    <w:rsid w:val="00641844"/>
    <w:rsid w:val="00642716"/>
    <w:rsid w:val="00644B70"/>
    <w:rsid w:val="00645AAE"/>
    <w:rsid w:val="006466DA"/>
    <w:rsid w:val="00646F01"/>
    <w:rsid w:val="00651658"/>
    <w:rsid w:val="006517A2"/>
    <w:rsid w:val="006529E4"/>
    <w:rsid w:val="0065439D"/>
    <w:rsid w:val="00660A2F"/>
    <w:rsid w:val="00675F2E"/>
    <w:rsid w:val="00676AA1"/>
    <w:rsid w:val="00676DFE"/>
    <w:rsid w:val="00684A7D"/>
    <w:rsid w:val="006868F0"/>
    <w:rsid w:val="00687678"/>
    <w:rsid w:val="00690981"/>
    <w:rsid w:val="00697F92"/>
    <w:rsid w:val="006A3269"/>
    <w:rsid w:val="006A342B"/>
    <w:rsid w:val="006A5893"/>
    <w:rsid w:val="006A78A1"/>
    <w:rsid w:val="006C6E46"/>
    <w:rsid w:val="006C6F77"/>
    <w:rsid w:val="006C7512"/>
    <w:rsid w:val="006D3725"/>
    <w:rsid w:val="006D5252"/>
    <w:rsid w:val="006D73E2"/>
    <w:rsid w:val="006E2CF7"/>
    <w:rsid w:val="006E4BFC"/>
    <w:rsid w:val="006E6592"/>
    <w:rsid w:val="006F2F0A"/>
    <w:rsid w:val="00700DAB"/>
    <w:rsid w:val="00702D81"/>
    <w:rsid w:val="00711381"/>
    <w:rsid w:val="0071615F"/>
    <w:rsid w:val="0072276F"/>
    <w:rsid w:val="00724B95"/>
    <w:rsid w:val="007319AE"/>
    <w:rsid w:val="00731C6A"/>
    <w:rsid w:val="00735099"/>
    <w:rsid w:val="007456A0"/>
    <w:rsid w:val="007475EE"/>
    <w:rsid w:val="00747ACF"/>
    <w:rsid w:val="00763918"/>
    <w:rsid w:val="007655CE"/>
    <w:rsid w:val="00766F99"/>
    <w:rsid w:val="00775252"/>
    <w:rsid w:val="00796AD6"/>
    <w:rsid w:val="00796D6A"/>
    <w:rsid w:val="007A1409"/>
    <w:rsid w:val="007A1551"/>
    <w:rsid w:val="007A3BC1"/>
    <w:rsid w:val="007A49C3"/>
    <w:rsid w:val="007C27B7"/>
    <w:rsid w:val="007C29DB"/>
    <w:rsid w:val="007C3530"/>
    <w:rsid w:val="007C4E3E"/>
    <w:rsid w:val="007E0117"/>
    <w:rsid w:val="007E212C"/>
    <w:rsid w:val="007E2ED0"/>
    <w:rsid w:val="007F24FF"/>
    <w:rsid w:val="007F5912"/>
    <w:rsid w:val="007F6219"/>
    <w:rsid w:val="007F7C30"/>
    <w:rsid w:val="00803402"/>
    <w:rsid w:val="00805609"/>
    <w:rsid w:val="008056D8"/>
    <w:rsid w:val="008114A8"/>
    <w:rsid w:val="008138CC"/>
    <w:rsid w:val="00820FBF"/>
    <w:rsid w:val="00821FE9"/>
    <w:rsid w:val="0082773D"/>
    <w:rsid w:val="00832767"/>
    <w:rsid w:val="0083784B"/>
    <w:rsid w:val="00837B1C"/>
    <w:rsid w:val="00850E88"/>
    <w:rsid w:val="008517FF"/>
    <w:rsid w:val="00854FD2"/>
    <w:rsid w:val="0086222B"/>
    <w:rsid w:val="00863E37"/>
    <w:rsid w:val="00864DFC"/>
    <w:rsid w:val="00864F78"/>
    <w:rsid w:val="008651F9"/>
    <w:rsid w:val="00866F53"/>
    <w:rsid w:val="008716E2"/>
    <w:rsid w:val="00892CD5"/>
    <w:rsid w:val="008A090D"/>
    <w:rsid w:val="008A1C38"/>
    <w:rsid w:val="008C267E"/>
    <w:rsid w:val="008D045F"/>
    <w:rsid w:val="008E12EE"/>
    <w:rsid w:val="008E48ED"/>
    <w:rsid w:val="008F63B5"/>
    <w:rsid w:val="009019D0"/>
    <w:rsid w:val="00902461"/>
    <w:rsid w:val="00902724"/>
    <w:rsid w:val="00910568"/>
    <w:rsid w:val="00911158"/>
    <w:rsid w:val="009150EB"/>
    <w:rsid w:val="009171F4"/>
    <w:rsid w:val="009257D5"/>
    <w:rsid w:val="00926535"/>
    <w:rsid w:val="00936E98"/>
    <w:rsid w:val="00946CA5"/>
    <w:rsid w:val="009562BC"/>
    <w:rsid w:val="00957397"/>
    <w:rsid w:val="0096555A"/>
    <w:rsid w:val="009658A0"/>
    <w:rsid w:val="00971745"/>
    <w:rsid w:val="009722BC"/>
    <w:rsid w:val="0097429C"/>
    <w:rsid w:val="009806A8"/>
    <w:rsid w:val="009829C8"/>
    <w:rsid w:val="009A191A"/>
    <w:rsid w:val="009B770C"/>
    <w:rsid w:val="009B7C6B"/>
    <w:rsid w:val="009C715E"/>
    <w:rsid w:val="009D12EC"/>
    <w:rsid w:val="009D3CD6"/>
    <w:rsid w:val="009E242A"/>
    <w:rsid w:val="009F0D6F"/>
    <w:rsid w:val="009F349E"/>
    <w:rsid w:val="00A00A47"/>
    <w:rsid w:val="00A0535E"/>
    <w:rsid w:val="00A055A3"/>
    <w:rsid w:val="00A066AC"/>
    <w:rsid w:val="00A14553"/>
    <w:rsid w:val="00A15842"/>
    <w:rsid w:val="00A277BA"/>
    <w:rsid w:val="00A3106A"/>
    <w:rsid w:val="00A42E4E"/>
    <w:rsid w:val="00A548D1"/>
    <w:rsid w:val="00A62CF1"/>
    <w:rsid w:val="00A80A29"/>
    <w:rsid w:val="00A82156"/>
    <w:rsid w:val="00A8446F"/>
    <w:rsid w:val="00A86873"/>
    <w:rsid w:val="00A90317"/>
    <w:rsid w:val="00A94443"/>
    <w:rsid w:val="00AA3618"/>
    <w:rsid w:val="00AA4983"/>
    <w:rsid w:val="00AA5A3E"/>
    <w:rsid w:val="00AA5BF1"/>
    <w:rsid w:val="00AB661C"/>
    <w:rsid w:val="00AC2BEE"/>
    <w:rsid w:val="00AC3B1A"/>
    <w:rsid w:val="00AC64A2"/>
    <w:rsid w:val="00AC7652"/>
    <w:rsid w:val="00AC7B19"/>
    <w:rsid w:val="00AD00F1"/>
    <w:rsid w:val="00AD2001"/>
    <w:rsid w:val="00AD327B"/>
    <w:rsid w:val="00AE4DE2"/>
    <w:rsid w:val="00AF0E1D"/>
    <w:rsid w:val="00AF3AED"/>
    <w:rsid w:val="00AF432C"/>
    <w:rsid w:val="00B016E3"/>
    <w:rsid w:val="00B029EB"/>
    <w:rsid w:val="00B12FA3"/>
    <w:rsid w:val="00B15520"/>
    <w:rsid w:val="00B170DD"/>
    <w:rsid w:val="00B20224"/>
    <w:rsid w:val="00B31060"/>
    <w:rsid w:val="00B328F2"/>
    <w:rsid w:val="00B32C86"/>
    <w:rsid w:val="00B33809"/>
    <w:rsid w:val="00B33918"/>
    <w:rsid w:val="00B4232A"/>
    <w:rsid w:val="00B42F64"/>
    <w:rsid w:val="00B44293"/>
    <w:rsid w:val="00B46B23"/>
    <w:rsid w:val="00B553D1"/>
    <w:rsid w:val="00B610C4"/>
    <w:rsid w:val="00B77012"/>
    <w:rsid w:val="00B8111B"/>
    <w:rsid w:val="00B839EB"/>
    <w:rsid w:val="00B84A72"/>
    <w:rsid w:val="00B8582D"/>
    <w:rsid w:val="00B8623C"/>
    <w:rsid w:val="00B90B82"/>
    <w:rsid w:val="00B93FA7"/>
    <w:rsid w:val="00B945CD"/>
    <w:rsid w:val="00B97685"/>
    <w:rsid w:val="00BB037D"/>
    <w:rsid w:val="00BB2C34"/>
    <w:rsid w:val="00BB2D3C"/>
    <w:rsid w:val="00BB3098"/>
    <w:rsid w:val="00BB4F71"/>
    <w:rsid w:val="00BB5318"/>
    <w:rsid w:val="00BB7846"/>
    <w:rsid w:val="00BB7C53"/>
    <w:rsid w:val="00BC35D3"/>
    <w:rsid w:val="00BC6ED9"/>
    <w:rsid w:val="00BD124A"/>
    <w:rsid w:val="00BD27F6"/>
    <w:rsid w:val="00BD41F2"/>
    <w:rsid w:val="00BD6AF5"/>
    <w:rsid w:val="00BE7099"/>
    <w:rsid w:val="00BE7E7B"/>
    <w:rsid w:val="00BF26D0"/>
    <w:rsid w:val="00BF5D80"/>
    <w:rsid w:val="00BF79EA"/>
    <w:rsid w:val="00C02029"/>
    <w:rsid w:val="00C137E1"/>
    <w:rsid w:val="00C155C4"/>
    <w:rsid w:val="00C15646"/>
    <w:rsid w:val="00C1794A"/>
    <w:rsid w:val="00C20100"/>
    <w:rsid w:val="00C21A3D"/>
    <w:rsid w:val="00C23C9C"/>
    <w:rsid w:val="00C2572D"/>
    <w:rsid w:val="00C31AC3"/>
    <w:rsid w:val="00C33FEC"/>
    <w:rsid w:val="00C374EE"/>
    <w:rsid w:val="00C50503"/>
    <w:rsid w:val="00C546C5"/>
    <w:rsid w:val="00C55D97"/>
    <w:rsid w:val="00C56E00"/>
    <w:rsid w:val="00C612DE"/>
    <w:rsid w:val="00C64A42"/>
    <w:rsid w:val="00C64F10"/>
    <w:rsid w:val="00C65219"/>
    <w:rsid w:val="00C67DEF"/>
    <w:rsid w:val="00C70017"/>
    <w:rsid w:val="00C70A6E"/>
    <w:rsid w:val="00C753A5"/>
    <w:rsid w:val="00C80E8F"/>
    <w:rsid w:val="00C82C5D"/>
    <w:rsid w:val="00C86E99"/>
    <w:rsid w:val="00CA100E"/>
    <w:rsid w:val="00CA6BCA"/>
    <w:rsid w:val="00CB1126"/>
    <w:rsid w:val="00CB1912"/>
    <w:rsid w:val="00CB437D"/>
    <w:rsid w:val="00CB5E62"/>
    <w:rsid w:val="00CC3120"/>
    <w:rsid w:val="00CC6E06"/>
    <w:rsid w:val="00CC6F34"/>
    <w:rsid w:val="00CC7936"/>
    <w:rsid w:val="00CC79E2"/>
    <w:rsid w:val="00CE0D3A"/>
    <w:rsid w:val="00CE1AA8"/>
    <w:rsid w:val="00CE333A"/>
    <w:rsid w:val="00CE6416"/>
    <w:rsid w:val="00CF62A9"/>
    <w:rsid w:val="00D00868"/>
    <w:rsid w:val="00D105A6"/>
    <w:rsid w:val="00D11336"/>
    <w:rsid w:val="00D14B9F"/>
    <w:rsid w:val="00D179A2"/>
    <w:rsid w:val="00D21881"/>
    <w:rsid w:val="00D2384A"/>
    <w:rsid w:val="00D2679A"/>
    <w:rsid w:val="00D30C22"/>
    <w:rsid w:val="00D321F4"/>
    <w:rsid w:val="00D33582"/>
    <w:rsid w:val="00D35B3D"/>
    <w:rsid w:val="00D41842"/>
    <w:rsid w:val="00D419AE"/>
    <w:rsid w:val="00D502F8"/>
    <w:rsid w:val="00D504DD"/>
    <w:rsid w:val="00D54BEB"/>
    <w:rsid w:val="00D55DB8"/>
    <w:rsid w:val="00D56353"/>
    <w:rsid w:val="00D579D0"/>
    <w:rsid w:val="00D61F34"/>
    <w:rsid w:val="00D639F9"/>
    <w:rsid w:val="00D63D70"/>
    <w:rsid w:val="00D6488D"/>
    <w:rsid w:val="00D70E07"/>
    <w:rsid w:val="00D73F72"/>
    <w:rsid w:val="00D81CB5"/>
    <w:rsid w:val="00D82476"/>
    <w:rsid w:val="00D83E69"/>
    <w:rsid w:val="00D90614"/>
    <w:rsid w:val="00DA45AC"/>
    <w:rsid w:val="00DA7F2B"/>
    <w:rsid w:val="00DB0E0F"/>
    <w:rsid w:val="00DB458C"/>
    <w:rsid w:val="00DB4F05"/>
    <w:rsid w:val="00DB55FD"/>
    <w:rsid w:val="00DC70D0"/>
    <w:rsid w:val="00DD20A9"/>
    <w:rsid w:val="00DE0C5D"/>
    <w:rsid w:val="00DE15EB"/>
    <w:rsid w:val="00DE32E0"/>
    <w:rsid w:val="00DE3375"/>
    <w:rsid w:val="00DF1712"/>
    <w:rsid w:val="00DF328F"/>
    <w:rsid w:val="00E127E5"/>
    <w:rsid w:val="00E138E3"/>
    <w:rsid w:val="00E144F1"/>
    <w:rsid w:val="00E1518A"/>
    <w:rsid w:val="00E2469D"/>
    <w:rsid w:val="00E3225E"/>
    <w:rsid w:val="00E33433"/>
    <w:rsid w:val="00E42A72"/>
    <w:rsid w:val="00E4633F"/>
    <w:rsid w:val="00E46466"/>
    <w:rsid w:val="00E47D59"/>
    <w:rsid w:val="00E6162A"/>
    <w:rsid w:val="00E62CA4"/>
    <w:rsid w:val="00E72B8B"/>
    <w:rsid w:val="00E76675"/>
    <w:rsid w:val="00E83092"/>
    <w:rsid w:val="00E86DDC"/>
    <w:rsid w:val="00E91575"/>
    <w:rsid w:val="00E927F3"/>
    <w:rsid w:val="00E97D00"/>
    <w:rsid w:val="00EA1042"/>
    <w:rsid w:val="00EA4DB2"/>
    <w:rsid w:val="00EA6ED7"/>
    <w:rsid w:val="00EA79A4"/>
    <w:rsid w:val="00EA7A7D"/>
    <w:rsid w:val="00EB1700"/>
    <w:rsid w:val="00EB3972"/>
    <w:rsid w:val="00EC32BF"/>
    <w:rsid w:val="00EC3EED"/>
    <w:rsid w:val="00EC69D9"/>
    <w:rsid w:val="00EC7D8F"/>
    <w:rsid w:val="00EE4DD5"/>
    <w:rsid w:val="00EE5C16"/>
    <w:rsid w:val="00EE7A6B"/>
    <w:rsid w:val="00EF1303"/>
    <w:rsid w:val="00EF426E"/>
    <w:rsid w:val="00EF4E88"/>
    <w:rsid w:val="00F01EDD"/>
    <w:rsid w:val="00F061C2"/>
    <w:rsid w:val="00F06CB4"/>
    <w:rsid w:val="00F113AF"/>
    <w:rsid w:val="00F176EA"/>
    <w:rsid w:val="00F226E3"/>
    <w:rsid w:val="00F3547C"/>
    <w:rsid w:val="00F45B97"/>
    <w:rsid w:val="00F47710"/>
    <w:rsid w:val="00F529BB"/>
    <w:rsid w:val="00F5312E"/>
    <w:rsid w:val="00F56A0D"/>
    <w:rsid w:val="00F611CD"/>
    <w:rsid w:val="00F63636"/>
    <w:rsid w:val="00F642A9"/>
    <w:rsid w:val="00F72FB3"/>
    <w:rsid w:val="00F753CC"/>
    <w:rsid w:val="00F918C4"/>
    <w:rsid w:val="00FA7FBF"/>
    <w:rsid w:val="00FB2607"/>
    <w:rsid w:val="00FB791E"/>
    <w:rsid w:val="00FC0F9E"/>
    <w:rsid w:val="00FC1F2F"/>
    <w:rsid w:val="00FC42A4"/>
    <w:rsid w:val="00FC4EE0"/>
    <w:rsid w:val="00FC5AD8"/>
    <w:rsid w:val="00FC5EEB"/>
    <w:rsid w:val="00FC78CE"/>
    <w:rsid w:val="00FD40AA"/>
    <w:rsid w:val="00FE00FB"/>
    <w:rsid w:val="00FE0272"/>
    <w:rsid w:val="00FE10C2"/>
    <w:rsid w:val="00FE3729"/>
    <w:rsid w:val="00FF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B525A"/>
  <w15:chartTrackingRefBased/>
  <w15:docId w15:val="{426E3910-52BD-408E-881F-79B68A0E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5BA"/>
    <w:pPr>
      <w:spacing w:after="120"/>
      <w:jc w:val="both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autoRedefine/>
    <w:uiPriority w:val="9"/>
    <w:qFormat/>
    <w:rsid w:val="00690981"/>
    <w:pPr>
      <w:keepNext/>
      <w:keepLines/>
      <w:numPr>
        <w:numId w:val="3"/>
      </w:numPr>
      <w:pBdr>
        <w:top w:val="single" w:sz="12" w:space="1" w:color="auto"/>
      </w:pBdr>
      <w:spacing w:before="240"/>
      <w:ind w:left="431" w:hanging="431"/>
      <w:outlineLvl w:val="0"/>
    </w:pPr>
    <w:rPr>
      <w:rFonts w:ascii="Arial" w:eastAsiaTheme="majorEastAsia" w:hAnsi="Arial" w:cstheme="majorBidi"/>
      <w:sz w:val="36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90981"/>
    <w:pPr>
      <w:keepNext/>
      <w:keepLines/>
      <w:numPr>
        <w:ilvl w:val="1"/>
        <w:numId w:val="3"/>
      </w:numPr>
      <w:spacing w:before="120"/>
      <w:ind w:left="86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45CD"/>
    <w:pPr>
      <w:keepNext/>
      <w:keepLines/>
      <w:numPr>
        <w:ilvl w:val="2"/>
        <w:numId w:val="3"/>
      </w:numPr>
      <w:spacing w:before="120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773D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773D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773D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773D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773D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773D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90981"/>
    <w:rPr>
      <w:rFonts w:ascii="Arial" w:eastAsiaTheme="majorEastAsia" w:hAnsi="Arial" w:cstheme="majorBidi"/>
      <w:sz w:val="36"/>
      <w:szCs w:val="32"/>
    </w:rPr>
  </w:style>
  <w:style w:type="character" w:styleId="a3">
    <w:name w:val="Emphasis"/>
    <w:basedOn w:val="a0"/>
    <w:qFormat/>
    <w:rsid w:val="0082773D"/>
    <w:rPr>
      <w:i/>
      <w:iCs/>
    </w:rPr>
  </w:style>
  <w:style w:type="character" w:customStyle="1" w:styleId="20">
    <w:name w:val="标题 2 字符"/>
    <w:basedOn w:val="a0"/>
    <w:link w:val="2"/>
    <w:uiPriority w:val="9"/>
    <w:rsid w:val="00690981"/>
    <w:rPr>
      <w:rFonts w:ascii="Arial" w:eastAsiaTheme="majorEastAsia" w:hAnsi="Arial" w:cstheme="majorBidi"/>
      <w:sz w:val="28"/>
      <w:szCs w:val="26"/>
    </w:rPr>
  </w:style>
  <w:style w:type="character" w:customStyle="1" w:styleId="30">
    <w:name w:val="标题 3 字符"/>
    <w:basedOn w:val="a0"/>
    <w:link w:val="3"/>
    <w:uiPriority w:val="9"/>
    <w:rsid w:val="00B945CD"/>
    <w:rPr>
      <w:rFonts w:ascii="Arial" w:eastAsiaTheme="majorEastAsia" w:hAnsi="Arial" w:cstheme="majorBidi"/>
      <w:b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8277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82773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82773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标题 7 字符"/>
    <w:basedOn w:val="a0"/>
    <w:link w:val="7"/>
    <w:uiPriority w:val="9"/>
    <w:semiHidden/>
    <w:rsid w:val="0082773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标题 8 字符"/>
    <w:basedOn w:val="a0"/>
    <w:link w:val="8"/>
    <w:uiPriority w:val="9"/>
    <w:semiHidden/>
    <w:rsid w:val="0082773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82773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4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リスト段落,목록단락"/>
    <w:basedOn w:val="a"/>
    <w:link w:val="a5"/>
    <w:uiPriority w:val="34"/>
    <w:qFormat/>
    <w:rsid w:val="00C70A6E"/>
    <w:pPr>
      <w:spacing w:line="240" w:lineRule="auto"/>
      <w:ind w:left="720"/>
      <w:contextualSpacing/>
    </w:pPr>
  </w:style>
  <w:style w:type="character" w:customStyle="1" w:styleId="a5">
    <w:name w:val="列出段落 字符"/>
    <w:aliases w:val="- Bullets 字符,목록 단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Paragrafo elenco 字符"/>
    <w:link w:val="a4"/>
    <w:uiPriority w:val="34"/>
    <w:qFormat/>
    <w:locked/>
    <w:rsid w:val="00C70A6E"/>
    <w:rPr>
      <w:rFonts w:ascii="Times New Roman" w:hAnsi="Times New Roman"/>
    </w:rPr>
  </w:style>
  <w:style w:type="character" w:customStyle="1" w:styleId="apple-converted-space">
    <w:name w:val="apple-converted-space"/>
    <w:basedOn w:val="a0"/>
    <w:rsid w:val="00456D36"/>
  </w:style>
  <w:style w:type="character" w:styleId="a6">
    <w:name w:val="Hyperlink"/>
    <w:uiPriority w:val="99"/>
    <w:rsid w:val="004549A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C6D07"/>
    <w:rPr>
      <w:color w:val="954F72" w:themeColor="followedHyperlink"/>
      <w:u w:val="single"/>
    </w:rPr>
  </w:style>
  <w:style w:type="paragraph" w:customStyle="1" w:styleId="TH">
    <w:name w:val="TH"/>
    <w:basedOn w:val="a"/>
    <w:link w:val="THChar"/>
    <w:rsid w:val="0009264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ja-JP"/>
    </w:rPr>
  </w:style>
  <w:style w:type="character" w:customStyle="1" w:styleId="THChar">
    <w:name w:val="TH Char"/>
    <w:link w:val="TH"/>
    <w:qFormat/>
    <w:rsid w:val="0009264A"/>
    <w:rPr>
      <w:rFonts w:ascii="Arial" w:eastAsia="Times New Roman" w:hAnsi="Arial" w:cs="Times New Roman"/>
      <w:b/>
      <w:sz w:val="20"/>
      <w:szCs w:val="20"/>
      <w:lang w:eastAsia="ja-JP"/>
    </w:rPr>
  </w:style>
  <w:style w:type="paragraph" w:customStyle="1" w:styleId="TF">
    <w:name w:val="TF"/>
    <w:basedOn w:val="TH"/>
    <w:link w:val="TFChar"/>
    <w:rsid w:val="0009264A"/>
    <w:pPr>
      <w:keepNext w:val="0"/>
      <w:spacing w:before="0" w:after="240"/>
    </w:pPr>
  </w:style>
  <w:style w:type="character" w:customStyle="1" w:styleId="TFChar">
    <w:name w:val="TF Char"/>
    <w:link w:val="TF"/>
    <w:rsid w:val="0009264A"/>
    <w:rPr>
      <w:rFonts w:ascii="Arial" w:eastAsia="Times New Roman" w:hAnsi="Arial" w:cs="Times New Roman"/>
      <w:b/>
      <w:sz w:val="20"/>
      <w:szCs w:val="20"/>
      <w:lang w:eastAsia="ja-JP"/>
    </w:rPr>
  </w:style>
  <w:style w:type="paragraph" w:styleId="a8">
    <w:name w:val="caption"/>
    <w:basedOn w:val="a"/>
    <w:next w:val="a"/>
    <w:uiPriority w:val="35"/>
    <w:unhideWhenUsed/>
    <w:qFormat/>
    <w:rsid w:val="0009264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6A58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6A5893"/>
    <w:rPr>
      <w:rFonts w:ascii="Times New Roman" w:hAnsi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6A5893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6A5893"/>
    <w:rPr>
      <w:rFonts w:ascii="Times New Roman" w:hAnsi="Times New Roman"/>
      <w:sz w:val="18"/>
      <w:szCs w:val="18"/>
    </w:rPr>
  </w:style>
  <w:style w:type="paragraph" w:styleId="ad">
    <w:name w:val="Balloon Text"/>
    <w:basedOn w:val="a"/>
    <w:link w:val="ae"/>
    <w:uiPriority w:val="99"/>
    <w:semiHidden/>
    <w:unhideWhenUsed/>
    <w:rsid w:val="00A80A29"/>
    <w:pPr>
      <w:spacing w:after="0" w:line="240" w:lineRule="auto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A80A29"/>
    <w:rPr>
      <w:rFonts w:ascii="Times New Roman" w:hAnsi="Times New Roman"/>
      <w:sz w:val="18"/>
      <w:szCs w:val="18"/>
    </w:rPr>
  </w:style>
  <w:style w:type="paragraph" w:styleId="af">
    <w:name w:val="Normal (Web)"/>
    <w:basedOn w:val="a"/>
    <w:uiPriority w:val="99"/>
    <w:semiHidden/>
    <w:unhideWhenUsed/>
    <w:rsid w:val="00074118"/>
    <w:pPr>
      <w:spacing w:before="100" w:beforeAutospacing="1" w:after="100" w:afterAutospacing="1" w:line="240" w:lineRule="auto"/>
      <w:jc w:val="left"/>
    </w:pPr>
    <w:rPr>
      <w:rFonts w:ascii="宋体" w:eastAsia="宋体" w:hAnsi="宋体" w:cs="宋体"/>
      <w:sz w:val="24"/>
      <w:szCs w:val="24"/>
      <w:lang w:val="en-US"/>
    </w:rPr>
  </w:style>
  <w:style w:type="character" w:styleId="af0">
    <w:name w:val="annotation reference"/>
    <w:basedOn w:val="a0"/>
    <w:uiPriority w:val="99"/>
    <w:semiHidden/>
    <w:unhideWhenUsed/>
    <w:rsid w:val="00C50503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C50503"/>
    <w:pPr>
      <w:spacing w:line="240" w:lineRule="auto"/>
    </w:pPr>
    <w:rPr>
      <w:sz w:val="20"/>
      <w:szCs w:val="20"/>
    </w:rPr>
  </w:style>
  <w:style w:type="character" w:customStyle="1" w:styleId="af2">
    <w:name w:val="批注文字 字符"/>
    <w:basedOn w:val="a0"/>
    <w:link w:val="af1"/>
    <w:uiPriority w:val="99"/>
    <w:rsid w:val="00C50503"/>
    <w:rPr>
      <w:rFonts w:ascii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0503"/>
    <w:rPr>
      <w:b/>
      <w:bCs/>
    </w:rPr>
  </w:style>
  <w:style w:type="character" w:customStyle="1" w:styleId="af4">
    <w:name w:val="批注主题 字符"/>
    <w:basedOn w:val="af2"/>
    <w:link w:val="af3"/>
    <w:uiPriority w:val="99"/>
    <w:semiHidden/>
    <w:rsid w:val="00C50503"/>
    <w:rPr>
      <w:rFonts w:ascii="Times New Roman" w:hAnsi="Times New Roman"/>
      <w:b/>
      <w:bCs/>
      <w:sz w:val="20"/>
      <w:szCs w:val="20"/>
    </w:rPr>
  </w:style>
  <w:style w:type="paragraph" w:customStyle="1" w:styleId="xmsonormal">
    <w:name w:val="x_msonormal"/>
    <w:basedOn w:val="a"/>
    <w:qFormat/>
    <w:rsid w:val="00AA5BF1"/>
    <w:pPr>
      <w:spacing w:after="0" w:line="240" w:lineRule="auto"/>
      <w:jc w:val="left"/>
    </w:pPr>
    <w:rPr>
      <w:rFonts w:ascii="Calibri" w:eastAsia="Calibri" w:hAnsi="Calibri" w:cs="Calibri"/>
      <w:lang w:val="en-US" w:eastAsia="en-US"/>
    </w:rPr>
  </w:style>
  <w:style w:type="paragraph" w:styleId="af5">
    <w:name w:val="Body Text"/>
    <w:aliases w:val="bt"/>
    <w:basedOn w:val="a"/>
    <w:link w:val="af6"/>
    <w:rsid w:val="004857E1"/>
    <w:pPr>
      <w:spacing w:line="240" w:lineRule="auto"/>
    </w:pPr>
    <w:rPr>
      <w:rFonts w:ascii="Times" w:eastAsia="Batang" w:hAnsi="Times" w:cs="Times New Roman"/>
      <w:sz w:val="20"/>
      <w:szCs w:val="24"/>
      <w:lang w:eastAsia="x-none"/>
    </w:rPr>
  </w:style>
  <w:style w:type="character" w:customStyle="1" w:styleId="af6">
    <w:name w:val="正文文本 字符"/>
    <w:aliases w:val="bt 字符"/>
    <w:basedOn w:val="a0"/>
    <w:link w:val="af5"/>
    <w:rsid w:val="004857E1"/>
    <w:rPr>
      <w:rFonts w:ascii="Times" w:eastAsia="Batang" w:hAnsi="Times" w:cs="Times New Roman"/>
      <w:sz w:val="20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1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37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94890">
          <w:marLeft w:val="164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643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5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5e/Docs/RP-2209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6BC2E-53EA-4242-94C5-922C3C31B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li_xincai@nec.cn</dc:creator>
  <cp:keywords/>
  <dc:description/>
  <cp:lastModifiedBy>NEC</cp:lastModifiedBy>
  <cp:revision>197</cp:revision>
  <dcterms:created xsi:type="dcterms:W3CDTF">2023-09-20T02:10:00Z</dcterms:created>
  <dcterms:modified xsi:type="dcterms:W3CDTF">2023-09-27T02:15:00Z</dcterms:modified>
</cp:coreProperties>
</file>